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D81" w:rsidRDefault="00B13D81" w:rsidP="00B13D81">
      <w:pPr>
        <w:spacing w:line="480" w:lineRule="auto"/>
        <w:rPr>
          <w:i/>
        </w:rPr>
      </w:pPr>
      <w:bookmarkStart w:id="0" w:name="_GoBack"/>
      <w:bookmarkEnd w:id="0"/>
    </w:p>
    <w:p w:rsidR="00B13D81" w:rsidRDefault="00B13D81" w:rsidP="00B13D81">
      <w:pPr>
        <w:spacing w:line="480" w:lineRule="auto"/>
        <w:rPr>
          <w:i/>
        </w:rPr>
      </w:pPr>
    </w:p>
    <w:p w:rsidR="00B13D81" w:rsidRDefault="00B13D81" w:rsidP="00B13D81">
      <w:pPr>
        <w:spacing w:line="480" w:lineRule="auto"/>
        <w:rPr>
          <w:i/>
        </w:rPr>
      </w:pPr>
    </w:p>
    <w:p w:rsidR="00B13D81" w:rsidRPr="007F1080" w:rsidRDefault="00B13D81" w:rsidP="00B13D81">
      <w:pPr>
        <w:spacing w:line="360" w:lineRule="auto"/>
        <w:jc w:val="center"/>
        <w:rPr>
          <w:sz w:val="32"/>
          <w:szCs w:val="32"/>
        </w:rPr>
      </w:pPr>
      <w:r w:rsidRPr="007F1080">
        <w:rPr>
          <w:sz w:val="32"/>
          <w:szCs w:val="32"/>
        </w:rPr>
        <w:t>Rootedness and Openness</w:t>
      </w:r>
      <w:r w:rsidR="002C70E5">
        <w:rPr>
          <w:sz w:val="32"/>
          <w:szCs w:val="32"/>
        </w:rPr>
        <w:t xml:space="preserve"> in</w:t>
      </w:r>
    </w:p>
    <w:p w:rsidR="00B13D81" w:rsidRPr="007F1080" w:rsidRDefault="00B13D81" w:rsidP="00B13D81">
      <w:pPr>
        <w:spacing w:line="360" w:lineRule="auto"/>
        <w:jc w:val="center"/>
        <w:rPr>
          <w:sz w:val="32"/>
          <w:szCs w:val="32"/>
        </w:rPr>
      </w:pPr>
      <w:r w:rsidRPr="007F1080">
        <w:rPr>
          <w:sz w:val="32"/>
          <w:szCs w:val="32"/>
        </w:rPr>
        <w:t>The Life and Works of Véronique Tadjo</w:t>
      </w:r>
      <w:r w:rsidR="00B82BA8">
        <w:rPr>
          <w:sz w:val="32"/>
          <w:szCs w:val="32"/>
        </w:rPr>
        <w:t xml:space="preserve"> (b. 1955)</w:t>
      </w:r>
    </w:p>
    <w:p w:rsidR="00B13D81" w:rsidRDefault="00B13D81" w:rsidP="00B13D81">
      <w:pPr>
        <w:spacing w:line="480" w:lineRule="auto"/>
        <w:rPr>
          <w:i/>
        </w:rPr>
      </w:pPr>
    </w:p>
    <w:p w:rsidR="00821331" w:rsidRDefault="00821331" w:rsidP="00B13D81">
      <w:pPr>
        <w:spacing w:line="480" w:lineRule="auto"/>
        <w:rPr>
          <w:i/>
        </w:rPr>
      </w:pPr>
    </w:p>
    <w:p w:rsidR="00821331" w:rsidRDefault="00821331" w:rsidP="00821331">
      <w:pPr>
        <w:spacing w:line="480" w:lineRule="auto"/>
        <w:jc w:val="center"/>
      </w:pPr>
      <w:r>
        <w:t>submitted by Tim Steckler</w:t>
      </w:r>
    </w:p>
    <w:p w:rsidR="00821331" w:rsidRDefault="00821331" w:rsidP="00821331">
      <w:pPr>
        <w:spacing w:line="480" w:lineRule="auto"/>
        <w:jc w:val="center"/>
      </w:pPr>
    </w:p>
    <w:p w:rsidR="00821331" w:rsidRDefault="00821331" w:rsidP="00821331">
      <w:pPr>
        <w:spacing w:line="480" w:lineRule="auto"/>
        <w:jc w:val="center"/>
        <w:rPr>
          <w:i/>
        </w:rPr>
      </w:pPr>
    </w:p>
    <w:p w:rsidR="00B13D81" w:rsidRDefault="00B13D81" w:rsidP="00B13D81">
      <w:pPr>
        <w:spacing w:line="480" w:lineRule="auto"/>
        <w:jc w:val="center"/>
        <w:rPr>
          <w:i/>
        </w:rPr>
      </w:pPr>
      <w:r>
        <w:rPr>
          <w:i/>
          <w:noProof/>
        </w:rPr>
        <w:drawing>
          <wp:inline distT="0" distB="0" distL="0" distR="0">
            <wp:extent cx="2540000" cy="2794000"/>
            <wp:effectExtent l="0" t="0" r="0" b="0"/>
            <wp:docPr id="4" name="Picture 4" descr="Macintosh HD:private:var:folders:06:cpbwb7254_550mz987_lgf3h0000gn:T:TemporaryItems:veronicatadj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06:cpbwb7254_550mz987_lgf3h0000gn:T:TemporaryItems:veronicatadjo.gif"/>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0" cy="2794000"/>
                    </a:xfrm>
                    <a:prstGeom prst="rect">
                      <a:avLst/>
                    </a:prstGeom>
                    <a:noFill/>
                    <a:ln>
                      <a:noFill/>
                    </a:ln>
                  </pic:spPr>
                </pic:pic>
              </a:graphicData>
            </a:graphic>
          </wp:inline>
        </w:drawing>
      </w:r>
      <w:r>
        <w:rPr>
          <w:rStyle w:val="FootnoteReference"/>
          <w:i/>
        </w:rPr>
        <w:footnoteReference w:id="1"/>
      </w:r>
    </w:p>
    <w:p w:rsidR="00B13D81" w:rsidRDefault="00B13D81" w:rsidP="00B13D81">
      <w:pPr>
        <w:spacing w:line="360" w:lineRule="auto"/>
        <w:jc w:val="center"/>
      </w:pPr>
    </w:p>
    <w:p w:rsidR="00B13D81" w:rsidRPr="00056F6A" w:rsidRDefault="00B13D81" w:rsidP="00B13D81">
      <w:pPr>
        <w:spacing w:line="480" w:lineRule="auto"/>
      </w:pPr>
    </w:p>
    <w:p w:rsidR="00B13D81" w:rsidRDefault="00B13D81" w:rsidP="00821331">
      <w:pPr>
        <w:rPr>
          <w:i/>
        </w:rPr>
      </w:pPr>
      <w:r>
        <w:rPr>
          <w:i/>
        </w:rPr>
        <w:lastRenderedPageBreak/>
        <w:t>“The truth is revealed in people’s eyes. Words have so little value. You need to get under people’s skins. See what is inside.”</w:t>
      </w:r>
      <w:r>
        <w:rPr>
          <w:rStyle w:val="FootnoteReference"/>
          <w:i/>
        </w:rPr>
        <w:footnoteReference w:id="2"/>
      </w:r>
    </w:p>
    <w:p w:rsidR="00B13D81" w:rsidRPr="007F1080" w:rsidRDefault="00B13D81" w:rsidP="00B13D81">
      <w:pPr>
        <w:spacing w:line="480" w:lineRule="auto"/>
        <w:jc w:val="right"/>
      </w:pPr>
      <w:r>
        <w:t>-</w:t>
      </w:r>
      <w:r>
        <w:rPr>
          <w:i/>
        </w:rPr>
        <w:t>The Shadow of Imana: Travels in the Heart of Rwanda</w:t>
      </w:r>
    </w:p>
    <w:p w:rsidR="00B13D81" w:rsidRDefault="00B13D81" w:rsidP="00B13D81">
      <w:pPr>
        <w:spacing w:line="480" w:lineRule="auto"/>
        <w:ind w:firstLine="720"/>
      </w:pPr>
    </w:p>
    <w:p w:rsidR="00B13D81" w:rsidRDefault="00B13D81" w:rsidP="00B13D81">
      <w:pPr>
        <w:spacing w:line="480" w:lineRule="auto"/>
        <w:ind w:firstLine="720"/>
      </w:pPr>
      <w:r>
        <w:t>Speaking at a book reading of</w:t>
      </w:r>
      <w:r w:rsidR="009B0AC7">
        <w:t xml:space="preserve"> her novel</w:t>
      </w:r>
      <w:r>
        <w:t xml:space="preserve"> </w:t>
      </w:r>
      <w:r>
        <w:rPr>
          <w:i/>
        </w:rPr>
        <w:t>Far from my Father</w:t>
      </w:r>
      <w:r w:rsidR="009B0AC7">
        <w:rPr>
          <w:i/>
        </w:rPr>
        <w:t xml:space="preserve"> </w:t>
      </w:r>
      <w:r w:rsidR="009B0AC7">
        <w:t>at</w:t>
      </w:r>
      <w:r>
        <w:t xml:space="preserve"> the Library of Congre</w:t>
      </w:r>
      <w:r w:rsidR="00821331">
        <w:t xml:space="preserve">ss in Washington DC, </w:t>
      </w:r>
      <w:r>
        <w:t>Véronique Tadjo was asked a question about her values as an author. She commented with a simple phrase, “Rootedness and openness.” She went on to explain that this mean</w:t>
      </w:r>
      <w:r w:rsidR="00E47031">
        <w:t>s</w:t>
      </w:r>
      <w:r>
        <w:t xml:space="preserve"> being rooted in a home culture, yet still open to the world.</w:t>
      </w:r>
      <w:r>
        <w:rPr>
          <w:rStyle w:val="FootnoteReference"/>
        </w:rPr>
        <w:footnoteReference w:id="3"/>
      </w:r>
      <w:r w:rsidR="00821331">
        <w:t xml:space="preserve"> Tadjo, as an a</w:t>
      </w:r>
      <w:r>
        <w:t xml:space="preserve">frocentric writer, balances her origins </w:t>
      </w:r>
      <w:r w:rsidR="00E47031">
        <w:t>with</w:t>
      </w:r>
      <w:r>
        <w:t xml:space="preserve"> the </w:t>
      </w:r>
      <w:r w:rsidR="00E47031">
        <w:t xml:space="preserve">wider </w:t>
      </w:r>
      <w:r>
        <w:t>world in a way that electrifyingly draw</w:t>
      </w:r>
      <w:r w:rsidR="00E47031">
        <w:t>s her reader in</w:t>
      </w:r>
      <w:r>
        <w:t xml:space="preserve">. </w:t>
      </w:r>
    </w:p>
    <w:p w:rsidR="00B13D81" w:rsidRDefault="00B13D81" w:rsidP="00B13D81">
      <w:pPr>
        <w:spacing w:line="480" w:lineRule="auto"/>
      </w:pPr>
      <w:r>
        <w:tab/>
        <w:t>Véronique Tadjo</w:t>
      </w:r>
      <w:r w:rsidR="00E47031">
        <w:t>,</w:t>
      </w:r>
      <w:r>
        <w:t xml:space="preserve"> writer and poet</w:t>
      </w:r>
      <w:r w:rsidR="00E47031">
        <w:t>,</w:t>
      </w:r>
      <w:r>
        <w:t xml:space="preserve"> provides many distinct pairs of spectacles for her reader</w:t>
      </w:r>
      <w:r w:rsidR="00E47031">
        <w:t xml:space="preserve">, and with each new pair draws </w:t>
      </w:r>
      <w:r>
        <w:t>her reader</w:t>
      </w:r>
      <w:r w:rsidR="009B0AC7">
        <w:t xml:space="preserve"> </w:t>
      </w:r>
      <w:r w:rsidR="00E47031">
        <w:t>in</w:t>
      </w:r>
      <w:r w:rsidR="009B0AC7">
        <w:t>to</w:t>
      </w:r>
      <w:r w:rsidR="00E47031">
        <w:t xml:space="preserve"> a </w:t>
      </w:r>
      <w:r>
        <w:t>world</w:t>
      </w:r>
      <w:r w:rsidR="009B0AC7">
        <w:t xml:space="preserve"> marked by humanity and hope</w:t>
      </w:r>
      <w:r>
        <w:t xml:space="preserve">. This ability is </w:t>
      </w:r>
      <w:r w:rsidR="00E47031">
        <w:t>the</w:t>
      </w:r>
      <w:r>
        <w:t xml:space="preserve"> </w:t>
      </w:r>
      <w:r w:rsidR="00E47031">
        <w:t xml:space="preserve">reason her works have </w:t>
      </w:r>
      <w:r w:rsidR="009D087F">
        <w:t xml:space="preserve">wide appeal and have </w:t>
      </w:r>
      <w:r w:rsidR="00E47031">
        <w:t xml:space="preserve">been widely acclaimed. Her </w:t>
      </w:r>
      <w:r w:rsidR="009B0AC7">
        <w:t>vast collection of awards</w:t>
      </w:r>
      <w:r w:rsidR="00E47031">
        <w:t xml:space="preserve"> include</w:t>
      </w:r>
      <w:r w:rsidR="009D087F">
        <w:t xml:space="preserve"> most notably </w:t>
      </w:r>
      <w:r w:rsidR="009B0AC7">
        <w:t xml:space="preserve">the prestigious African francophone literary award, Le Grand Prix Litettérete d’Afrique </w:t>
      </w:r>
      <w:r w:rsidR="009D087F">
        <w:t>Noire, which she won in 2005</w:t>
      </w:r>
      <w:r w:rsidR="009B0AC7">
        <w:t>.</w:t>
      </w:r>
      <w:r w:rsidR="005171B6">
        <w:rPr>
          <w:rStyle w:val="FootnoteReference"/>
        </w:rPr>
        <w:footnoteReference w:id="4"/>
      </w:r>
      <w:r w:rsidR="009B0AC7">
        <w:t xml:space="preserve"> </w:t>
      </w:r>
      <w:r w:rsidR="009D087F">
        <w:t>P</w:t>
      </w:r>
      <w:r>
        <w:t>art of what bolster</w:t>
      </w:r>
      <w:r w:rsidR="009D087F">
        <w:t>s Tadjo to be such an effective and</w:t>
      </w:r>
      <w:r>
        <w:t xml:space="preserve"> empathetic writer is her enormous breadth of talents and experience. Tadjo is </w:t>
      </w:r>
      <w:r w:rsidR="00821331">
        <w:t>an African who</w:t>
      </w:r>
      <w:r w:rsidR="002F5C47">
        <w:t xml:space="preserve"> </w:t>
      </w:r>
      <w:r w:rsidR="009D087F">
        <w:t>also draws on her</w:t>
      </w:r>
      <w:r>
        <w:t xml:space="preserve"> distinctive French </w:t>
      </w:r>
      <w:r w:rsidR="009D087F">
        <w:t xml:space="preserve">and francophone </w:t>
      </w:r>
      <w:r>
        <w:t>background</w:t>
      </w:r>
      <w:r w:rsidR="00821331">
        <w:t xml:space="preserve"> and heritage. </w:t>
      </w:r>
      <w:r w:rsidR="009D087F">
        <w:t>In addition, s</w:t>
      </w:r>
      <w:r>
        <w:t xml:space="preserve">he also writes extensively in English. In </w:t>
      </w:r>
      <w:r w:rsidR="00644B3A">
        <w:t>both</w:t>
      </w:r>
      <w:r>
        <w:t xml:space="preserve"> language</w:t>
      </w:r>
      <w:r w:rsidR="00644B3A">
        <w:t>s</w:t>
      </w:r>
      <w:r>
        <w:t>, Tadjo demonstrates</w:t>
      </w:r>
      <w:r w:rsidR="00644B3A">
        <w:t xml:space="preserve"> the unusual</w:t>
      </w:r>
      <w:r>
        <w:t xml:space="preserve"> ability to communicate messages </w:t>
      </w:r>
      <w:r w:rsidR="00644B3A">
        <w:t xml:space="preserve">to a wide range of readers </w:t>
      </w:r>
      <w:r w:rsidR="009D087F">
        <w:t xml:space="preserve">through </w:t>
      </w:r>
      <w:r>
        <w:t xml:space="preserve">novels, poetry, and illustrated children’s books. Her stories </w:t>
      </w:r>
      <w:r w:rsidR="009D087F">
        <w:lastRenderedPageBreak/>
        <w:t>encompass</w:t>
      </w:r>
      <w:r>
        <w:t xml:space="preserve"> the lives of individuals throughout Africa, myths with deep origins throughout the continent, the effects of war</w:t>
      </w:r>
      <w:r w:rsidR="009D087F">
        <w:t xml:space="preserve"> and</w:t>
      </w:r>
      <w:r>
        <w:t xml:space="preserve"> economic hardship, a</w:t>
      </w:r>
      <w:r w:rsidR="009D087F">
        <w:t>s well as</w:t>
      </w:r>
      <w:r>
        <w:t xml:space="preserve"> everyday challenges f</w:t>
      </w:r>
      <w:r w:rsidR="00821331">
        <w:t>aced by</w:t>
      </w:r>
      <w:r>
        <w:t xml:space="preserve"> Africa and Africans. These stories are bolstered </w:t>
      </w:r>
      <w:r w:rsidR="009D087F">
        <w:t xml:space="preserve">by a vantage point </w:t>
      </w:r>
      <w:r w:rsidR="00644B3A">
        <w:t xml:space="preserve">she developed </w:t>
      </w:r>
      <w:r w:rsidR="009D087F">
        <w:t>through</w:t>
      </w:r>
      <w:r>
        <w:t xml:space="preserve"> liv</w:t>
      </w:r>
      <w:r w:rsidR="009D087F">
        <w:t>ing</w:t>
      </w:r>
      <w:r>
        <w:t xml:space="preserve"> in numerous </w:t>
      </w:r>
      <w:r w:rsidR="00D71F44">
        <w:t>countries throughout</w:t>
      </w:r>
      <w:r>
        <w:t xml:space="preserve"> Africa and beyond. </w:t>
      </w:r>
      <w:r w:rsidR="009D087F">
        <w:t xml:space="preserve">Tadjo’s </w:t>
      </w:r>
      <w:r w:rsidR="00A468EA">
        <w:t xml:space="preserve">African and </w:t>
      </w:r>
      <w:r w:rsidR="009D087F">
        <w:t xml:space="preserve">global </w:t>
      </w:r>
      <w:r>
        <w:t>experience</w:t>
      </w:r>
      <w:r w:rsidR="00A468EA">
        <w:t>s</w:t>
      </w:r>
      <w:r w:rsidR="009D087F">
        <w:t>,</w:t>
      </w:r>
      <w:r w:rsidR="00A468EA">
        <w:t xml:space="preserve"> </w:t>
      </w:r>
      <w:r>
        <w:t xml:space="preserve">relating to so many </w:t>
      </w:r>
      <w:r w:rsidR="009D087F">
        <w:t xml:space="preserve">different </w:t>
      </w:r>
      <w:r w:rsidR="00A468EA">
        <w:t>people</w:t>
      </w:r>
      <w:r>
        <w:t xml:space="preserve">, and her vast array of skills as a storyteller </w:t>
      </w:r>
      <w:r w:rsidR="009D087F">
        <w:t>put</w:t>
      </w:r>
      <w:r>
        <w:t xml:space="preserve"> her in an advantageous position to sketch “the truth revealed in people’s eyes” </w:t>
      </w:r>
      <w:r w:rsidR="00A468EA">
        <w:t>and to</w:t>
      </w:r>
      <w:r>
        <w:t xml:space="preserve"> give the reader a vast array of </w:t>
      </w:r>
      <w:r w:rsidR="00D71F44">
        <w:t>vantage points from</w:t>
      </w:r>
      <w:r>
        <w:t xml:space="preserve"> which to answer the question, </w:t>
      </w:r>
      <w:r w:rsidR="00D71F44">
        <w:t>“W</w:t>
      </w:r>
      <w:r>
        <w:t>hat does it mean to African?</w:t>
      </w:r>
      <w:r w:rsidR="00D71F44">
        <w:t>”</w:t>
      </w:r>
    </w:p>
    <w:p w:rsidR="00B13D81" w:rsidRDefault="00B6034E" w:rsidP="00B13D81">
      <w:pPr>
        <w:spacing w:line="480" w:lineRule="auto"/>
      </w:pPr>
      <w:r>
        <w:tab/>
        <w:t>This biography</w:t>
      </w:r>
      <w:r w:rsidR="00A468EA">
        <w:t xml:space="preserve"> describes</w:t>
      </w:r>
      <w:r w:rsidR="005F2039">
        <w:t xml:space="preserve"> Tadjo’s</w:t>
      </w:r>
      <w:r w:rsidR="00F6153E">
        <w:t xml:space="preserve"> life through </w:t>
      </w:r>
      <w:r w:rsidR="008E34CF">
        <w:t>th</w:t>
      </w:r>
      <w:r w:rsidR="00821331">
        <w:t>e context she writes in, her</w:t>
      </w:r>
      <w:r w:rsidR="008E34CF">
        <w:t xml:space="preserve"> life within this context, and </w:t>
      </w:r>
      <w:r w:rsidR="00821331">
        <w:t xml:space="preserve">the themes </w:t>
      </w:r>
      <w:r w:rsidR="00F6153E">
        <w:t>which ha</w:t>
      </w:r>
      <w:r w:rsidR="00821331">
        <w:t>ve</w:t>
      </w:r>
      <w:r w:rsidR="00F6153E">
        <w:t xml:space="preserve"> marked her lifework.</w:t>
      </w:r>
      <w:r w:rsidR="008E34CF">
        <w:t xml:space="preserve"> </w:t>
      </w:r>
      <w:r w:rsidR="00A468EA">
        <w:t>The context includes</w:t>
      </w:r>
      <w:r w:rsidR="00507E12">
        <w:t xml:space="preserve"> </w:t>
      </w:r>
      <w:r w:rsidR="00821331">
        <w:t>her</w:t>
      </w:r>
      <w:r w:rsidR="00507E12">
        <w:t xml:space="preserve"> upbringing in Côte D’Ivoire and the conflict that ravaged the nation. </w:t>
      </w:r>
      <w:r w:rsidR="00A468EA">
        <w:t xml:space="preserve">The themes </w:t>
      </w:r>
      <w:r w:rsidR="00821331">
        <w:t>include</w:t>
      </w:r>
      <w:r w:rsidR="00F6153E">
        <w:t xml:space="preserve"> h</w:t>
      </w:r>
      <w:r w:rsidR="00507E12">
        <w:t>er ability to w</w:t>
      </w:r>
      <w:r w:rsidR="00821331">
        <w:t>rite in both French and English as well as her afrocentric themes especially her inclusion of African mythology and her focus on p</w:t>
      </w:r>
      <w:r w:rsidR="006A24B1">
        <w:t>articular p</w:t>
      </w:r>
      <w:r w:rsidR="00821331">
        <w:t>roblems facing Africa, such as</w:t>
      </w:r>
      <w:r w:rsidR="00507E12">
        <w:t xml:space="preserve"> her writings </w:t>
      </w:r>
      <w:r w:rsidR="006A24B1">
        <w:t>o</w:t>
      </w:r>
      <w:r w:rsidR="002F5C47">
        <w:t>n Rwanda</w:t>
      </w:r>
    </w:p>
    <w:p w:rsidR="00B13D81" w:rsidRDefault="00B13D81" w:rsidP="00B13D81">
      <w:pPr>
        <w:spacing w:line="480" w:lineRule="auto"/>
        <w:rPr>
          <w:b/>
        </w:rPr>
      </w:pPr>
    </w:p>
    <w:p w:rsidR="00B13D81" w:rsidRPr="003A607C" w:rsidRDefault="00D71F44" w:rsidP="00B13D81">
      <w:pPr>
        <w:spacing w:line="480" w:lineRule="auto"/>
        <w:rPr>
          <w:sz w:val="32"/>
          <w:szCs w:val="32"/>
        </w:rPr>
      </w:pPr>
      <w:r>
        <w:rPr>
          <w:b/>
          <w:sz w:val="32"/>
          <w:szCs w:val="32"/>
        </w:rPr>
        <w:t>C</w:t>
      </w:r>
      <w:r w:rsidR="00B6034E">
        <w:rPr>
          <w:b/>
          <w:sz w:val="32"/>
          <w:szCs w:val="32"/>
        </w:rPr>
        <w:t>onflict</w:t>
      </w:r>
      <w:r>
        <w:rPr>
          <w:b/>
          <w:sz w:val="32"/>
          <w:szCs w:val="32"/>
        </w:rPr>
        <w:t xml:space="preserve"> and Aftermath</w:t>
      </w:r>
    </w:p>
    <w:p w:rsidR="00B13D81" w:rsidRDefault="00B13D81" w:rsidP="00B13D81">
      <w:pPr>
        <w:spacing w:line="480" w:lineRule="auto"/>
        <w:ind w:firstLine="720"/>
      </w:pPr>
      <w:r>
        <w:t>Tadjo was born in</w:t>
      </w:r>
      <w:r w:rsidR="00B82BA8">
        <w:t xml:space="preserve"> 1955 in</w:t>
      </w:r>
      <w:r>
        <w:t xml:space="preserve"> France to an Ivorian father and French mother. She grew up mostly in Abidjan</w:t>
      </w:r>
      <w:r w:rsidR="009D3788">
        <w:t>, Côte D’Ivoire, and</w:t>
      </w:r>
      <w:r>
        <w:t xml:space="preserve"> earned her Bachelor of Arts degree</w:t>
      </w:r>
      <w:r w:rsidR="00C03E89">
        <w:t xml:space="preserve"> in English</w:t>
      </w:r>
      <w:r>
        <w:t xml:space="preserve"> at the University of Abidjan. </w:t>
      </w:r>
      <w:r w:rsidR="00C03E89">
        <w:t>Tadjo has noted that her choice to study English</w:t>
      </w:r>
      <w:r w:rsidR="006A24B1">
        <w:t xml:space="preserve"> was “the best decision” she could have</w:t>
      </w:r>
      <w:r>
        <w:t xml:space="preserve"> made.</w:t>
      </w:r>
      <w:r>
        <w:rPr>
          <w:rStyle w:val="FootnoteReference"/>
        </w:rPr>
        <w:footnoteReference w:id="5"/>
      </w:r>
      <w:r>
        <w:t xml:space="preserve"> She proceeded to earn </w:t>
      </w:r>
      <w:r>
        <w:lastRenderedPageBreak/>
        <w:t xml:space="preserve">her doctorate at </w:t>
      </w:r>
      <w:r w:rsidR="009D3788">
        <w:t xml:space="preserve">The </w:t>
      </w:r>
      <w:r>
        <w:t>Sorbonne in France in African American Literature and Ci</w:t>
      </w:r>
      <w:r w:rsidR="009D3788">
        <w:t>vilization, and her knowledge of</w:t>
      </w:r>
      <w:r>
        <w:t xml:space="preserve"> English paved the way for her to her to earn a Fulbright </w:t>
      </w:r>
      <w:r w:rsidR="00C03E89">
        <w:t xml:space="preserve">research </w:t>
      </w:r>
      <w:r>
        <w:t>scholarship at Howard University in 1983.</w:t>
      </w:r>
      <w:r>
        <w:rPr>
          <w:rStyle w:val="FootnoteReference"/>
        </w:rPr>
        <w:footnoteReference w:id="6"/>
      </w:r>
      <w:r>
        <w:t xml:space="preserve"> </w:t>
      </w:r>
      <w:r w:rsidR="00C03E89">
        <w:t>Once b</w:t>
      </w:r>
      <w:r w:rsidR="00FD52F0">
        <w:t>ack</w:t>
      </w:r>
      <w:r>
        <w:t xml:space="preserve"> in Côte D’Ivoire, Tadjo gained an entirely new perspective when </w:t>
      </w:r>
      <w:r w:rsidR="00C03E89">
        <w:t>teaching</w:t>
      </w:r>
      <w:r>
        <w:t xml:space="preserve"> English in </w:t>
      </w:r>
      <w:r w:rsidR="006A24B1">
        <w:t xml:space="preserve">a relatively poor region consisting largely of Muslims, in </w:t>
      </w:r>
      <w:r>
        <w:t>t</w:t>
      </w:r>
      <w:r w:rsidR="006A24B1">
        <w:t>he north of the country</w:t>
      </w:r>
      <w:r>
        <w:t>.</w:t>
      </w:r>
      <w:r>
        <w:rPr>
          <w:rStyle w:val="FootnoteReference"/>
        </w:rPr>
        <w:footnoteReference w:id="7"/>
      </w:r>
      <w:r>
        <w:t xml:space="preserve"> Some of her first writings</w:t>
      </w:r>
      <w:r w:rsidR="008E34CF">
        <w:t>,</w:t>
      </w:r>
      <w:r>
        <w:t xml:space="preserve"> </w:t>
      </w:r>
      <w:r w:rsidR="00C03E89">
        <w:t xml:space="preserve">such as </w:t>
      </w:r>
      <w:r w:rsidR="00C03E89" w:rsidRPr="00C03E89">
        <w:rPr>
          <w:i/>
        </w:rPr>
        <w:t>Latérite</w:t>
      </w:r>
      <w:r w:rsidR="00C03E89">
        <w:t xml:space="preserve">, </w:t>
      </w:r>
      <w:r>
        <w:t xml:space="preserve">were poems </w:t>
      </w:r>
      <w:r w:rsidR="00C03E89">
        <w:t xml:space="preserve">based </w:t>
      </w:r>
      <w:r>
        <w:t>on her experiences in the north,</w:t>
      </w:r>
      <w:r w:rsidR="00C03E89">
        <w:t xml:space="preserve"> where she fell in love wit</w:t>
      </w:r>
      <w:r w:rsidR="009D3788">
        <w:t>h the place and the people</w:t>
      </w:r>
      <w:r w:rsidR="00C03E89">
        <w:t>.</w:t>
      </w:r>
      <w:r>
        <w:t xml:space="preserve"> </w:t>
      </w:r>
      <w:r w:rsidR="00C03E89">
        <w:t xml:space="preserve">She wrote extensively </w:t>
      </w:r>
      <w:r>
        <w:t xml:space="preserve">on the connection </w:t>
      </w:r>
      <w:r w:rsidR="009D3788">
        <w:t>to land that characterizes</w:t>
      </w:r>
      <w:r>
        <w:t xml:space="preserve"> </w:t>
      </w:r>
      <w:r w:rsidR="009D3788">
        <w:t>people</w:t>
      </w:r>
      <w:r>
        <w:t xml:space="preserve"> from </w:t>
      </w:r>
      <w:r w:rsidR="009D3788">
        <w:t xml:space="preserve">the </w:t>
      </w:r>
      <w:r>
        <w:t xml:space="preserve">north </w:t>
      </w:r>
      <w:r w:rsidR="009D3788">
        <w:t xml:space="preserve">of </w:t>
      </w:r>
      <w:r>
        <w:t xml:space="preserve">Côte D’Ivoire and other </w:t>
      </w:r>
      <w:r w:rsidR="009D3788">
        <w:t xml:space="preserve">parts of </w:t>
      </w:r>
      <w:r>
        <w:t>West Africa</w:t>
      </w:r>
      <w:r w:rsidR="009D3788">
        <w:t>.</w:t>
      </w:r>
    </w:p>
    <w:p w:rsidR="00B13D81" w:rsidRDefault="00B13D81" w:rsidP="00B13D81">
      <w:pPr>
        <w:spacing w:line="480" w:lineRule="auto"/>
        <w:ind w:firstLine="720"/>
      </w:pPr>
      <w:r>
        <w:t xml:space="preserve">This celebration of Côte D’Ivoire’s northern Muslim population and </w:t>
      </w:r>
      <w:r w:rsidR="00C14CCD">
        <w:t xml:space="preserve">their </w:t>
      </w:r>
      <w:r>
        <w:t>connection to the land was particularly insightful especially in view</w:t>
      </w:r>
      <w:r w:rsidR="00C14CCD">
        <w:t xml:space="preserve"> of</w:t>
      </w:r>
      <w:r>
        <w:t xml:space="preserve"> what was to </w:t>
      </w:r>
      <w:r w:rsidR="00C14CCD">
        <w:t>follow politically.</w:t>
      </w:r>
      <w:r>
        <w:t xml:space="preserve"> This context is crucial to understanding how Tadjo incorporated this region in</w:t>
      </w:r>
      <w:r w:rsidR="00C14CCD">
        <w:t>to</w:t>
      </w:r>
      <w:r>
        <w:t xml:space="preserve"> her writings. Located in West Africa and roughly the size of the US state of</w:t>
      </w:r>
      <w:r w:rsidRPr="003A607C">
        <w:t xml:space="preserve"> </w:t>
      </w:r>
      <w:r>
        <w:t xml:space="preserve">New Mexico, Côte D’Ivoire is a nation with vast resources and a long history of being a thriving African society, yet its geopolitical structure has </w:t>
      </w:r>
      <w:r w:rsidR="00C14CCD">
        <w:t xml:space="preserve">played into </w:t>
      </w:r>
      <w:r>
        <w:t>the turmoil that ravaged the nation starting in the early 1990’s.</w:t>
      </w:r>
    </w:p>
    <w:p w:rsidR="00B13D81" w:rsidRDefault="00B13D81" w:rsidP="00B13D81">
      <w:pPr>
        <w:spacing w:line="480" w:lineRule="auto"/>
      </w:pPr>
      <w:r>
        <w:rPr>
          <w:noProof/>
        </w:rPr>
        <w:lastRenderedPageBreak/>
        <w:drawing>
          <wp:inline distT="0" distB="0" distL="0" distR="0">
            <wp:extent cx="2400300" cy="2625328"/>
            <wp:effectExtent l="0" t="0" r="0" b="0"/>
            <wp:docPr id="1" name="Picture 1" descr="Macintosh HD:private:var:folders:06:cpbwb7254_550mz987_lgf3h0000gn:T:TemporaryItems:6d1e44af72d69a09bac41807b141f7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06:cpbwb7254_550mz987_lgf3h0000gn:T:TemporaryItems:6d1e44af72d69a09bac41807b141f730.gif"/>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66" cy="2625400"/>
                    </a:xfrm>
                    <a:prstGeom prst="rect">
                      <a:avLst/>
                    </a:prstGeom>
                    <a:noFill/>
                    <a:ln>
                      <a:noFill/>
                    </a:ln>
                  </pic:spPr>
                </pic:pic>
              </a:graphicData>
            </a:graphic>
          </wp:inline>
        </w:drawing>
      </w:r>
      <w:r>
        <w:rPr>
          <w:noProof/>
        </w:rPr>
        <w:drawing>
          <wp:inline distT="0" distB="0" distL="0" distR="0">
            <wp:extent cx="2400300" cy="2625327"/>
            <wp:effectExtent l="0" t="0" r="0" b="0"/>
            <wp:docPr id="2" name="Picture 2" descr="Macintosh HD:private:var:folders:06:cpbwb7254_550mz987_lgf3h0000gn:T:TemporaryItems:7894eb45cb6896c08e333f51b1b3d3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06:cpbwb7254_550mz987_lgf3h0000gn:T:TemporaryItems:7894eb45cb6896c08e333f51b1b3d3dc.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401" cy="2625438"/>
                    </a:xfrm>
                    <a:prstGeom prst="rect">
                      <a:avLst/>
                    </a:prstGeom>
                    <a:noFill/>
                    <a:ln>
                      <a:noFill/>
                    </a:ln>
                  </pic:spPr>
                </pic:pic>
              </a:graphicData>
            </a:graphic>
          </wp:inline>
        </w:drawing>
      </w:r>
      <w:r>
        <w:rPr>
          <w:rStyle w:val="FootnoteReference"/>
        </w:rPr>
        <w:footnoteReference w:id="8"/>
      </w:r>
    </w:p>
    <w:p w:rsidR="0028409B" w:rsidRDefault="00C14CCD" w:rsidP="0028409B">
      <w:pPr>
        <w:spacing w:line="480" w:lineRule="auto"/>
        <w:ind w:firstLine="720"/>
      </w:pPr>
      <w:r>
        <w:t>The country achieved</w:t>
      </w:r>
      <w:r w:rsidR="00B13D81">
        <w:t xml:space="preserve"> independence </w:t>
      </w:r>
      <w:r>
        <w:t xml:space="preserve">from France </w:t>
      </w:r>
      <w:r w:rsidR="00B13D81">
        <w:t>in 1960 and for decades</w:t>
      </w:r>
      <w:r w:rsidR="00B13D81" w:rsidRPr="003A607C">
        <w:t xml:space="preserve"> </w:t>
      </w:r>
      <w:r w:rsidR="00B13D81">
        <w:t>remained an economic powerhouse in West Africa selling coffee, cotton, and cocoa. In 1993, the country’s fortunes began to change with the death of the first president Felix Ho</w:t>
      </w:r>
      <w:r>
        <w:t>uphouët-Boigney, and</w:t>
      </w:r>
      <w:r w:rsidR="00B13D81">
        <w:t xml:space="preserve"> a decreased international demand for cocoa. As in many former colonies whose economies were shaped by Europeans to rely on one or few commodities, </w:t>
      </w:r>
      <w:r w:rsidR="00C04A12">
        <w:t xml:space="preserve">the </w:t>
      </w:r>
      <w:r w:rsidR="008E34CF">
        <w:t>“</w:t>
      </w:r>
      <w:r w:rsidR="00C04A12">
        <w:t>monocrop</w:t>
      </w:r>
      <w:r w:rsidR="008E34CF">
        <w:t>”</w:t>
      </w:r>
      <w:r w:rsidR="00C04A12">
        <w:t xml:space="preserve"> of cocoa is a large part</w:t>
      </w:r>
      <w:r>
        <w:t xml:space="preserve"> of Côte D’Ivoire’s GDP, and the</w:t>
      </w:r>
      <w:r w:rsidR="00C04A12">
        <w:t xml:space="preserve"> reduced global demand</w:t>
      </w:r>
      <w:r w:rsidR="00B13D81">
        <w:t xml:space="preserve"> caused </w:t>
      </w:r>
      <w:r w:rsidR="006A24B1">
        <w:t xml:space="preserve">a </w:t>
      </w:r>
      <w:r w:rsidR="00B13D81">
        <w:t>severe economic d</w:t>
      </w:r>
      <w:r w:rsidR="006A24B1">
        <w:t>ownsturn</w:t>
      </w:r>
      <w:r w:rsidR="00B13D81">
        <w:t>.</w:t>
      </w:r>
      <w:r w:rsidR="00C04A12">
        <w:rPr>
          <w:rStyle w:val="FootnoteReference"/>
        </w:rPr>
        <w:footnoteReference w:id="9"/>
      </w:r>
      <w:r w:rsidR="00B13D81">
        <w:t xml:space="preserve"> Many immigrants, particularly from other West African countries had come to work on the </w:t>
      </w:r>
      <w:r w:rsidR="00B13D81">
        <w:lastRenderedPageBreak/>
        <w:t xml:space="preserve">cocoa fields, and when </w:t>
      </w:r>
      <w:r>
        <w:t xml:space="preserve">the </w:t>
      </w:r>
      <w:r w:rsidR="00B13D81">
        <w:t xml:space="preserve">economic </w:t>
      </w:r>
      <w:r w:rsidR="00EA365E">
        <w:t>crisis</w:t>
      </w:r>
      <w:r w:rsidR="00B13D81">
        <w:t xml:space="preserve"> </w:t>
      </w:r>
      <w:r>
        <w:t>hit</w:t>
      </w:r>
      <w:r w:rsidR="00B13D81">
        <w:t>, Ivoirians’ tensions with these foreigners spurred a growing conflict.</w:t>
      </w:r>
      <w:r w:rsidR="00B13D81">
        <w:rPr>
          <w:rStyle w:val="FootnoteReference"/>
        </w:rPr>
        <w:footnoteReference w:id="10"/>
      </w:r>
      <w:r w:rsidR="00B13D81">
        <w:t xml:space="preserve"> </w:t>
      </w:r>
    </w:p>
    <w:p w:rsidR="00B13D81" w:rsidRDefault="00B13D81" w:rsidP="0028409B">
      <w:pPr>
        <w:spacing w:line="480" w:lineRule="auto"/>
        <w:ind w:firstLine="720"/>
      </w:pPr>
      <w:r>
        <w:t>The new leader Henry Konan Bédié</w:t>
      </w:r>
      <w:r w:rsidR="00C14CCD">
        <w:t>, appealed to ethnicity and</w:t>
      </w:r>
      <w:r>
        <w:t xml:space="preserve"> sought to win voters by blaming </w:t>
      </w:r>
      <w:r w:rsidR="00C14CCD">
        <w:t xml:space="preserve">the </w:t>
      </w:r>
      <w:r>
        <w:t>economic downturn on foreigners (particularly migrant workers from other West African countries) and Muslims from the arid northern regions of th</w:t>
      </w:r>
      <w:r w:rsidR="00B82BA8">
        <w:t>e country. This process of “Ivo</w:t>
      </w:r>
      <w:r>
        <w:t xml:space="preserve">rization” by targeting these </w:t>
      </w:r>
      <w:r w:rsidR="00C14CCD">
        <w:t xml:space="preserve">other ethnic </w:t>
      </w:r>
      <w:r>
        <w:t>groups was a part of populist, nationalist sentiment that sharply divided the nation. Those deemed foreigners suffered severe reductions on their rights.</w:t>
      </w:r>
      <w:r>
        <w:rPr>
          <w:rStyle w:val="FootnoteReference"/>
        </w:rPr>
        <w:footnoteReference w:id="11"/>
      </w:r>
      <w:r>
        <w:t>. A</w:t>
      </w:r>
      <w:r w:rsidR="00C04A12">
        <w:t xml:space="preserve"> 1999</w:t>
      </w:r>
      <w:r>
        <w:t xml:space="preserve"> coup </w:t>
      </w:r>
      <w:r w:rsidR="0028409B">
        <w:t>led to the election of</w:t>
      </w:r>
      <w:r w:rsidR="00C04A12">
        <w:t xml:space="preserve"> </w:t>
      </w:r>
      <w:r w:rsidRPr="00800718">
        <w:t>President Laurent Gbagbo</w:t>
      </w:r>
      <w:r w:rsidR="00C04A12">
        <w:t>, who</w:t>
      </w:r>
      <w:r>
        <w:t xml:space="preserve"> </w:t>
      </w:r>
      <w:r w:rsidR="00C14CCD">
        <w:t>shattered</w:t>
      </w:r>
      <w:r>
        <w:t xml:space="preserve"> </w:t>
      </w:r>
      <w:r w:rsidR="00C04A12">
        <w:t>much of the remaining stability.</w:t>
      </w:r>
      <w:r>
        <w:t xml:space="preserve"> </w:t>
      </w:r>
      <w:r w:rsidR="00C04A12">
        <w:t>V</w:t>
      </w:r>
      <w:r>
        <w:t>iolence was carried out against foreigners and Muslims residing in the Abidjan and surrounding towns. The 2000’s were marked by a stagnant economy and Gbagbo’s repeated atrocities against “foreigners”, including one massacre in Abidjan where 150 people were killed.</w:t>
      </w:r>
      <w:r>
        <w:rPr>
          <w:rStyle w:val="FootnoteReference"/>
        </w:rPr>
        <w:footnoteReference w:id="12"/>
      </w:r>
      <w:r>
        <w:t xml:space="preserve"> After extensive UN and African Union pressure, the opposition </w:t>
      </w:r>
      <w:r w:rsidR="00C14CCD">
        <w:t xml:space="preserve">leader, Alassane Ouattara, </w:t>
      </w:r>
      <w:r>
        <w:t>was allowed to run</w:t>
      </w:r>
      <w:r w:rsidR="00C04A12">
        <w:t xml:space="preserve"> </w:t>
      </w:r>
      <w:r>
        <w:t>against Gbagbo, but when</w:t>
      </w:r>
      <w:r w:rsidR="00C04A12">
        <w:t xml:space="preserve"> </w:t>
      </w:r>
      <w:r>
        <w:t xml:space="preserve">Ouattara won, Gbagbo refused to </w:t>
      </w:r>
      <w:r w:rsidR="00C14CCD">
        <w:t>stand down</w:t>
      </w:r>
      <w:r>
        <w:t xml:space="preserve">. In 2010, </w:t>
      </w:r>
      <w:r w:rsidR="00C04A12">
        <w:t>dozens of</w:t>
      </w:r>
      <w:r>
        <w:t xml:space="preserve"> citizens died in riots and tensions in the area </w:t>
      </w:r>
      <w:r w:rsidR="00C14CCD">
        <w:t xml:space="preserve">increased </w:t>
      </w:r>
      <w:r>
        <w:t>with extensive fighting between competing armies</w:t>
      </w:r>
      <w:r w:rsidR="00C14CCD">
        <w:t>.  By</w:t>
      </w:r>
      <w:r>
        <w:t xml:space="preserve"> 2011 hundreds of thousands of Ivoirians were displaced, particularly from the north. </w:t>
      </w:r>
      <w:r w:rsidR="00C14CCD">
        <w:t>Since</w:t>
      </w:r>
      <w:r>
        <w:t xml:space="preserve"> Ouattara gained control of the country</w:t>
      </w:r>
      <w:r w:rsidR="00C14CCD">
        <w:t xml:space="preserve"> in 2011,</w:t>
      </w:r>
      <w:r>
        <w:t xml:space="preserve"> the nation has been in recovery, its economy growing by 8% each year, yet the memory of the war has not been forgotten.</w:t>
      </w:r>
    </w:p>
    <w:p w:rsidR="0087436D" w:rsidRDefault="00B13D81" w:rsidP="00B13D81">
      <w:pPr>
        <w:spacing w:line="480" w:lineRule="auto"/>
        <w:ind w:firstLine="720"/>
      </w:pPr>
      <w:r>
        <w:lastRenderedPageBreak/>
        <w:t>Tadjo</w:t>
      </w:r>
      <w:r w:rsidR="0087436D">
        <w:t>’s writings</w:t>
      </w:r>
      <w:r w:rsidR="0028409B">
        <w:t xml:space="preserve"> about Côte D’Ivoire</w:t>
      </w:r>
      <w:r w:rsidR="0087436D">
        <w:t xml:space="preserve"> before the war may have been </w:t>
      </w:r>
      <w:r w:rsidR="00EA365E">
        <w:t>celebratory while</w:t>
      </w:r>
      <w:r w:rsidR="0028409B">
        <w:t xml:space="preserve"> afterwards they have been</w:t>
      </w:r>
      <w:r w:rsidR="0087436D">
        <w:t xml:space="preserve"> reflective on the post-conflict Ivoirian experience. </w:t>
      </w:r>
      <w:r w:rsidR="0028409B">
        <w:t>She talks about how i</w:t>
      </w:r>
      <w:r w:rsidR="0087436D">
        <w:t xml:space="preserve">ndividuals </w:t>
      </w:r>
      <w:r w:rsidR="0028409B">
        <w:t>who returned home</w:t>
      </w:r>
      <w:r w:rsidR="0087436D">
        <w:t xml:space="preserve"> may </w:t>
      </w:r>
      <w:r w:rsidR="0028409B">
        <w:t>have found</w:t>
      </w:r>
      <w:r w:rsidR="0087436D">
        <w:t xml:space="preserve"> their homes resettled by another group of individuals.</w:t>
      </w:r>
      <w:r w:rsidR="0028409B">
        <w:t xml:space="preserve"> She writes about f</w:t>
      </w:r>
      <w:r w:rsidR="0087436D">
        <w:t>amilies</w:t>
      </w:r>
      <w:r w:rsidR="0028409B">
        <w:t xml:space="preserve"> that</w:t>
      </w:r>
      <w:r w:rsidR="0087436D">
        <w:t xml:space="preserve"> have been torn </w:t>
      </w:r>
      <w:r w:rsidR="009500EB">
        <w:t>apart, and countless individual</w:t>
      </w:r>
      <w:r w:rsidR="0087436D">
        <w:t xml:space="preserve"> lives </w:t>
      </w:r>
      <w:r w:rsidR="009500EB">
        <w:t xml:space="preserve">that </w:t>
      </w:r>
      <w:r w:rsidR="0087436D">
        <w:t>have been severely altered or changed. Tadj</w:t>
      </w:r>
      <w:r w:rsidR="009500EB">
        <w:t>o describes how Ivo</w:t>
      </w:r>
      <w:r w:rsidR="0087436D">
        <w:t xml:space="preserve">rians, including herself, must return home and reconcile </w:t>
      </w:r>
      <w:r w:rsidR="00EA365E">
        <w:t>with the changed reality</w:t>
      </w:r>
      <w:r w:rsidR="0087436D">
        <w:t>.</w:t>
      </w:r>
    </w:p>
    <w:p w:rsidR="0087436D" w:rsidRDefault="00B13D81" w:rsidP="009500EB">
      <w:pPr>
        <w:spacing w:line="480" w:lineRule="auto"/>
        <w:ind w:firstLine="720"/>
      </w:pPr>
      <w:r>
        <w:t xml:space="preserve">In </w:t>
      </w:r>
      <w:r>
        <w:rPr>
          <w:i/>
        </w:rPr>
        <w:t>Far from my Father</w:t>
      </w:r>
      <w:r>
        <w:t>, th</w:t>
      </w:r>
      <w:r w:rsidR="0028409B">
        <w:t>e aftereffects of the Ivorian Civil W</w:t>
      </w:r>
      <w:r>
        <w:t xml:space="preserve">ar is </w:t>
      </w:r>
      <w:r w:rsidR="009500EB">
        <w:t>a major theme</w:t>
      </w:r>
      <w:r>
        <w:t>.</w:t>
      </w:r>
      <w:r>
        <w:rPr>
          <w:rStyle w:val="FootnoteReference"/>
        </w:rPr>
        <w:footnoteReference w:id="13"/>
      </w:r>
      <w:r w:rsidR="0087436D">
        <w:t xml:space="preserve"> </w:t>
      </w:r>
      <w:r w:rsidR="009500EB">
        <w:t>Wr</w:t>
      </w:r>
      <w:r w:rsidR="0087436D">
        <w:t xml:space="preserve">itten in 2014, </w:t>
      </w:r>
      <w:r w:rsidR="009500EB">
        <w:t>it</w:t>
      </w:r>
      <w:r w:rsidR="0087436D">
        <w:t xml:space="preserve"> describes a woman named Nina travelling back to her native Côte D’Ivoire after years of exile due to the war. She arrives in Abidjan, an area still recovering from the onslaught that had caused so many thousands to leave. Nina’s family greets her warmly, though a man attempts to steal her bags during the interaction and her young cousin cannot stop crying. This bittersweet moment is a homecoming where Nina’s father has died. The book </w:t>
      </w:r>
      <w:r w:rsidR="008B5A72">
        <w:t>depicts</w:t>
      </w:r>
      <w:r w:rsidR="0087436D">
        <w:t xml:space="preserve"> snippets of Nina’s travel back home, her interactions with her family in the wake of her father’s death, the differences in her war-wrecked </w:t>
      </w:r>
      <w:r w:rsidR="009500EB">
        <w:t>home</w:t>
      </w:r>
      <w:r w:rsidR="0087436D">
        <w:t>land</w:t>
      </w:r>
      <w:r w:rsidR="009500EB">
        <w:t>.</w:t>
      </w:r>
      <w:r w:rsidR="0087436D">
        <w:t xml:space="preserve"> She notices, “No one knows where things are headed. People are speaking in harsh tones, growing more radical, more set in their opinions. </w:t>
      </w:r>
      <w:r w:rsidR="0087436D" w:rsidRPr="00B165A3">
        <w:t>Everyone is talking at once and no one is listening. We look at each other with stony faces, full of distrust.”</w:t>
      </w:r>
      <w:r w:rsidR="0087436D" w:rsidRPr="00B165A3">
        <w:rPr>
          <w:rStyle w:val="FootnoteReference"/>
        </w:rPr>
        <w:footnoteReference w:id="14"/>
      </w:r>
      <w:r w:rsidR="0087436D">
        <w:t xml:space="preserve"> Nina tries to find her new place in this dark world, sorting through her father’s papers, arranging the funeral, meeting an </w:t>
      </w:r>
      <w:r w:rsidR="0087436D">
        <w:lastRenderedPageBreak/>
        <w:t>old lover</w:t>
      </w:r>
      <w:r w:rsidR="008B5A72">
        <w:t>. Interactions with the world around her are</w:t>
      </w:r>
      <w:r w:rsidR="0087436D">
        <w:t xml:space="preserve"> strained</w:t>
      </w:r>
      <w:r w:rsidR="008B5A72">
        <w:t>.</w:t>
      </w:r>
      <w:r w:rsidR="0087436D">
        <w:t xml:space="preserve"> Tadjo uses a powerful animal motif to describe the feeling of being back in Côte D’Ivoire.</w:t>
      </w:r>
    </w:p>
    <w:p w:rsidR="0087436D" w:rsidRDefault="0087436D" w:rsidP="0087436D">
      <w:pPr>
        <w:ind w:right="360"/>
      </w:pPr>
    </w:p>
    <w:p w:rsidR="0087436D" w:rsidRPr="00AB188F" w:rsidRDefault="0087436D" w:rsidP="0087436D">
      <w:pPr>
        <w:ind w:left="360" w:right="360"/>
        <w:rPr>
          <w:sz w:val="20"/>
          <w:szCs w:val="20"/>
        </w:rPr>
      </w:pPr>
      <w:r w:rsidRPr="00AB188F">
        <w:rPr>
          <w:sz w:val="20"/>
          <w:szCs w:val="20"/>
        </w:rPr>
        <w:t>“Ants were an entirely different story… she had learned that they avoided senseless violence</w:t>
      </w:r>
      <w:r>
        <w:rPr>
          <w:sz w:val="20"/>
          <w:szCs w:val="20"/>
        </w:rPr>
        <w:t>. But the nature of their sophi</w:t>
      </w:r>
      <w:r w:rsidRPr="00AB188F">
        <w:rPr>
          <w:sz w:val="20"/>
          <w:szCs w:val="20"/>
        </w:rPr>
        <w:t xml:space="preserve">sticated social system appeared to lead the most intelligent among them almost irresistibly to wage war against their less aggressive races, even though they were necessary for their </w:t>
      </w:r>
      <w:r w:rsidRPr="00B165A3">
        <w:rPr>
          <w:sz w:val="20"/>
          <w:szCs w:val="20"/>
        </w:rPr>
        <w:t xml:space="preserve">own survival. </w:t>
      </w:r>
      <w:r w:rsidRPr="00B165A3">
        <w:rPr>
          <w:i/>
          <w:sz w:val="20"/>
          <w:szCs w:val="20"/>
        </w:rPr>
        <w:t>It is in this that they come closest to the most advanced human societies.</w:t>
      </w:r>
      <w:r>
        <w:rPr>
          <w:sz w:val="20"/>
          <w:szCs w:val="20"/>
        </w:rPr>
        <w:t>”</w:t>
      </w:r>
      <w:r>
        <w:rPr>
          <w:rStyle w:val="FootnoteReference"/>
          <w:sz w:val="20"/>
          <w:szCs w:val="20"/>
        </w:rPr>
        <w:footnoteReference w:id="15"/>
      </w:r>
    </w:p>
    <w:p w:rsidR="0087436D" w:rsidRDefault="0087436D" w:rsidP="0087436D">
      <w:pPr>
        <w:ind w:left="360" w:right="360"/>
      </w:pPr>
    </w:p>
    <w:p w:rsidR="00C95E01" w:rsidRDefault="0087436D" w:rsidP="0087436D">
      <w:pPr>
        <w:spacing w:line="480" w:lineRule="auto"/>
      </w:pPr>
      <w:r>
        <w:tab/>
        <w:t>Nina’s struggle, the brutal world like the one of the ants she entered into that had been wrought through the powerful inflicting havoc on the innocent, re</w:t>
      </w:r>
      <w:r w:rsidR="008B5A72">
        <w:t xml:space="preserve">lates to Tadjo’s experience. Commenting on </w:t>
      </w:r>
      <w:r>
        <w:t>what it is like to travel and come home</w:t>
      </w:r>
      <w:r w:rsidR="008B5A72">
        <w:t>, Tadjo says s</w:t>
      </w:r>
      <w:r>
        <w:t>he never thought of herself as “in exile” during her years abroa</w:t>
      </w:r>
      <w:r w:rsidR="008B5A72">
        <w:t xml:space="preserve">d in South Africa and elsewhere, but </w:t>
      </w:r>
      <w:r>
        <w:t xml:space="preserve">“When the feeling of war came, you have the feeling of exile. You know you are an exile when you know the place you </w:t>
      </w:r>
      <w:r w:rsidRPr="00CC05A0">
        <w:t>left has changed.”</w:t>
      </w:r>
      <w:r>
        <w:rPr>
          <w:rStyle w:val="FootnoteReference"/>
        </w:rPr>
        <w:footnoteReference w:id="16"/>
      </w:r>
      <w:r>
        <w:t xml:space="preserve"> </w:t>
      </w:r>
      <w:r w:rsidR="0028409B">
        <w:t>Through</w:t>
      </w:r>
      <w:r w:rsidR="00663730">
        <w:t xml:space="preserve"> the voice of Nina, Tadjo tak</w:t>
      </w:r>
      <w:r>
        <w:t>es the reader to her own personal experience, and the stories of so many who return home to a country fresh from the onslaught of war. The themes of familiarity yet difference, happiness mixed with grief, the ties of the old pulling one from their place in the present, are all invoke</w:t>
      </w:r>
      <w:r w:rsidR="00965F17">
        <w:t>d</w:t>
      </w:r>
      <w:r>
        <w:t xml:space="preserve"> in her story.</w:t>
      </w:r>
      <w:r w:rsidR="00121A59">
        <w:t xml:space="preserve"> </w:t>
      </w:r>
      <w:r w:rsidR="00965F17">
        <w:t>Notwithstanding,</w:t>
      </w:r>
      <w:r w:rsidR="00121A59">
        <w:t xml:space="preserve"> there is a </w:t>
      </w:r>
      <w:r w:rsidR="00965F17">
        <w:t>feeling</w:t>
      </w:r>
      <w:r w:rsidR="00121A59">
        <w:t xml:space="preserve"> of forward movement: that these events happened, yet as </w:t>
      </w:r>
      <w:r w:rsidR="00965F17">
        <w:t xml:space="preserve">is </w:t>
      </w:r>
      <w:r w:rsidR="00121A59">
        <w:t>common in the human experience, forward movement is inevitable in the struggle to survive.</w:t>
      </w:r>
      <w:r>
        <w:t xml:space="preserve"> Tadjo </w:t>
      </w:r>
      <w:r w:rsidR="00965F17">
        <w:t xml:space="preserve">depicts </w:t>
      </w:r>
      <w:r w:rsidR="00121A59">
        <w:t>this</w:t>
      </w:r>
      <w:r>
        <w:t xml:space="preserve"> </w:t>
      </w:r>
      <w:r w:rsidR="00965F17">
        <w:t xml:space="preserve">most </w:t>
      </w:r>
      <w:r>
        <w:t xml:space="preserve">human </w:t>
      </w:r>
      <w:r w:rsidR="00965F17">
        <w:t xml:space="preserve">and thus universal of </w:t>
      </w:r>
      <w:r>
        <w:t>experience</w:t>
      </w:r>
      <w:r w:rsidR="00965F17">
        <w:t>s,</w:t>
      </w:r>
      <w:r>
        <w:t xml:space="preserve"> </w:t>
      </w:r>
      <w:r w:rsidR="00965F17">
        <w:t>while</w:t>
      </w:r>
      <w:r>
        <w:t xml:space="preserve"> noting the dis</w:t>
      </w:r>
      <w:r w:rsidR="0028409B">
        <w:t>tinct</w:t>
      </w:r>
      <w:r w:rsidR="00965F17">
        <w:t>ivene</w:t>
      </w:r>
      <w:r w:rsidR="0028409B">
        <w:t xml:space="preserve">ss of her </w:t>
      </w:r>
      <w:r w:rsidR="00663730">
        <w:t xml:space="preserve">country and </w:t>
      </w:r>
      <w:r w:rsidR="0028409B">
        <w:t>culture</w:t>
      </w:r>
      <w:r w:rsidR="00965F17">
        <w:t xml:space="preserve">. </w:t>
      </w:r>
      <w:r>
        <w:lastRenderedPageBreak/>
        <w:t xml:space="preserve">Nina’s thoughts and fears </w:t>
      </w:r>
      <w:r w:rsidR="00663730">
        <w:t xml:space="preserve">are </w:t>
      </w:r>
      <w:r>
        <w:t>in a sense Tadjo’s tools to bring the reader to her home</w:t>
      </w:r>
      <w:r w:rsidR="00C95E01">
        <w:t xml:space="preserve">land. </w:t>
      </w:r>
    </w:p>
    <w:p w:rsidR="00C95E01" w:rsidRDefault="00C95E01" w:rsidP="0087436D">
      <w:pPr>
        <w:spacing w:line="480" w:lineRule="auto"/>
      </w:pPr>
    </w:p>
    <w:p w:rsidR="0087436D" w:rsidRPr="0087436D" w:rsidRDefault="0087436D" w:rsidP="0087436D">
      <w:pPr>
        <w:spacing w:line="480" w:lineRule="auto"/>
        <w:rPr>
          <w:sz w:val="32"/>
          <w:szCs w:val="32"/>
        </w:rPr>
      </w:pPr>
      <w:r>
        <w:rPr>
          <w:b/>
          <w:sz w:val="32"/>
          <w:szCs w:val="32"/>
        </w:rPr>
        <w:t>Language</w:t>
      </w:r>
      <w:r w:rsidR="00B6034E">
        <w:rPr>
          <w:b/>
          <w:sz w:val="32"/>
          <w:szCs w:val="32"/>
        </w:rPr>
        <w:t xml:space="preserve"> and Humanization</w:t>
      </w:r>
    </w:p>
    <w:p w:rsidR="0020654E" w:rsidRDefault="00B13D81" w:rsidP="00B13D81">
      <w:pPr>
        <w:spacing w:line="480" w:lineRule="auto"/>
      </w:pPr>
      <w:r>
        <w:tab/>
      </w:r>
      <w:r w:rsidR="0020654E">
        <w:t>Another conflict exists in Africa</w:t>
      </w:r>
      <w:r>
        <w:t xml:space="preserve"> that positions a writer like Tadjo to have </w:t>
      </w:r>
      <w:r w:rsidR="00C521AE">
        <w:t>a positive</w:t>
      </w:r>
      <w:r>
        <w:t xml:space="preserve"> effect: the divide between Anglophone and Francophone Africa. </w:t>
      </w:r>
      <w:r w:rsidR="005401BD">
        <w:t>T</w:t>
      </w:r>
      <w:r w:rsidR="00C521AE">
        <w:t>wo thirds of Africa was</w:t>
      </w:r>
      <w:r>
        <w:t xml:space="preserve"> colonized by British and French speaking powers (France and Belgium). Even </w:t>
      </w:r>
      <w:r w:rsidR="005401BD">
        <w:t xml:space="preserve">after </w:t>
      </w:r>
      <w:r w:rsidR="00BB4800">
        <w:t>traditional colonialism ended</w:t>
      </w:r>
      <w:r w:rsidR="005401BD">
        <w:t>,</w:t>
      </w:r>
      <w:r>
        <w:t xml:space="preserve"> English and French-speaking </w:t>
      </w:r>
      <w:r w:rsidR="00C521AE">
        <w:t>countries</w:t>
      </w:r>
      <w:r>
        <w:t xml:space="preserve"> </w:t>
      </w:r>
      <w:r w:rsidR="00C521AE">
        <w:t xml:space="preserve">have </w:t>
      </w:r>
      <w:r>
        <w:t>remain</w:t>
      </w:r>
      <w:r w:rsidR="00C521AE">
        <w:t>ed</w:t>
      </w:r>
      <w:r>
        <w:t xml:space="preserve"> critically divided. </w:t>
      </w:r>
      <w:r w:rsidR="00C521AE">
        <w:t>L</w:t>
      </w:r>
      <w:r>
        <w:t xml:space="preserve">inguistic </w:t>
      </w:r>
      <w:r w:rsidR="00C521AE">
        <w:t xml:space="preserve">(and cultural) divisions have </w:t>
      </w:r>
      <w:r>
        <w:t>create</w:t>
      </w:r>
      <w:r w:rsidR="00C521AE">
        <w:t>d</w:t>
      </w:r>
      <w:r>
        <w:t xml:space="preserve"> artificial divisions among African peoples, so much so that the </w:t>
      </w:r>
      <w:r w:rsidR="00C521AE">
        <w:t xml:space="preserve">African Union election in </w:t>
      </w:r>
      <w:r>
        <w:t>which South Afr</w:t>
      </w:r>
      <w:r w:rsidR="002714B3">
        <w:t xml:space="preserve">ica’s </w:t>
      </w:r>
      <w:r>
        <w:t xml:space="preserve">Dlamini-Zuma defeated incumbent Gabonese Jean Ping was widely touted as a victory of </w:t>
      </w:r>
      <w:r w:rsidR="00C521AE">
        <w:t>Anglophone Afri</w:t>
      </w:r>
      <w:r>
        <w:t>ca.</w:t>
      </w:r>
      <w:r>
        <w:rPr>
          <w:rStyle w:val="FootnoteReference"/>
        </w:rPr>
        <w:footnoteReference w:id="17"/>
      </w:r>
      <w:r w:rsidR="00C521AE">
        <w:t xml:space="preserve"> </w:t>
      </w:r>
      <w:r w:rsidR="002714B3">
        <w:t>D</w:t>
      </w:r>
      <w:r>
        <w:t xml:space="preserve">ivisions over language affiliation can become so divisive that violence can </w:t>
      </w:r>
      <w:r w:rsidR="00C521AE">
        <w:t>ensue</w:t>
      </w:r>
      <w:r>
        <w:t xml:space="preserve">. In Cameroon, </w:t>
      </w:r>
      <w:r w:rsidR="00C521AE">
        <w:t xml:space="preserve">for example, a country with a francophone and an Anglophone community, </w:t>
      </w:r>
      <w:r>
        <w:t>the French-speaking majority has been known to limit the rights of English speaking Cameroonians and even incite violence, stoking a conflict over identity.</w:t>
      </w:r>
      <w:r>
        <w:rPr>
          <w:rStyle w:val="FootnoteReference"/>
        </w:rPr>
        <w:footnoteReference w:id="18"/>
      </w:r>
    </w:p>
    <w:p w:rsidR="00E51451" w:rsidRDefault="00C521AE" w:rsidP="00E51451">
      <w:pPr>
        <w:spacing w:line="480" w:lineRule="auto"/>
        <w:ind w:firstLine="720"/>
      </w:pPr>
      <w:r>
        <w:t>The divide between French and English speakers creates a disruption in the sharing of ideas throughout Africa.</w:t>
      </w:r>
      <w:r w:rsidR="00B13D81">
        <w:t xml:space="preserve"> </w:t>
      </w:r>
      <w:r>
        <w:t>I</w:t>
      </w:r>
      <w:r w:rsidR="00B13D81">
        <w:t xml:space="preserve">n West Africa, where </w:t>
      </w:r>
      <w:r>
        <w:t>f</w:t>
      </w:r>
      <w:r w:rsidR="00B13D81">
        <w:t xml:space="preserve">rancophone Côte D’Ivoire shares its eastern border with Ghana, peoples </w:t>
      </w:r>
      <w:r w:rsidR="002714B3">
        <w:t>from the same</w:t>
      </w:r>
      <w:r>
        <w:t xml:space="preserve"> ethnic background can</w:t>
      </w:r>
      <w:r w:rsidR="00B13D81">
        <w:t xml:space="preserve"> have significant difficul</w:t>
      </w:r>
      <w:r w:rsidR="002714B3">
        <w:t>ty in communicating – a divide that</w:t>
      </w:r>
      <w:r w:rsidR="00B13D81">
        <w:t xml:space="preserve"> origin</w:t>
      </w:r>
      <w:r w:rsidR="002714B3">
        <w:t>ate</w:t>
      </w:r>
      <w:r w:rsidR="00B13D81">
        <w:t xml:space="preserve">s </w:t>
      </w:r>
      <w:r w:rsidR="002714B3">
        <w:t xml:space="preserve">with the </w:t>
      </w:r>
      <w:r w:rsidR="002714B3">
        <w:lastRenderedPageBreak/>
        <w:t>colonial division of the continent into British and French controlled areas</w:t>
      </w:r>
      <w:r w:rsidR="00B13D81">
        <w:t xml:space="preserve">. </w:t>
      </w:r>
      <w:r w:rsidR="00BB4800">
        <w:t xml:space="preserve">These </w:t>
      </w:r>
      <w:r>
        <w:t xml:space="preserve">arbitrarily </w:t>
      </w:r>
      <w:r w:rsidR="00121A59">
        <w:t>imposed</w:t>
      </w:r>
      <w:r w:rsidR="00BB4800">
        <w:t xml:space="preserve"> </w:t>
      </w:r>
      <w:r w:rsidR="002714B3">
        <w:t xml:space="preserve">imperial </w:t>
      </w:r>
      <w:r w:rsidR="00BB4800">
        <w:t>languages block connections</w:t>
      </w:r>
      <w:r w:rsidR="00E51451">
        <w:t xml:space="preserve"> between</w:t>
      </w:r>
      <w:r w:rsidR="00B13D81">
        <w:t xml:space="preserve"> Africans </w:t>
      </w:r>
      <w:r w:rsidR="00BB4800">
        <w:t>in scholarly and literary fields</w:t>
      </w:r>
      <w:r w:rsidR="00E51451">
        <w:t>:</w:t>
      </w:r>
      <w:r>
        <w:t xml:space="preserve"> French-speaking scholars and writers</w:t>
      </w:r>
      <w:r w:rsidR="00E51451">
        <w:t>, for example,</w:t>
      </w:r>
      <w:r>
        <w:t xml:space="preserve"> </w:t>
      </w:r>
      <w:r w:rsidR="00E51451">
        <w:t>are often</w:t>
      </w:r>
      <w:r>
        <w:t xml:space="preserve"> cut off from English scholarship in Africa</w:t>
      </w:r>
      <w:r w:rsidR="00E51451">
        <w:t>. While t</w:t>
      </w:r>
      <w:r w:rsidR="005401BD">
        <w:t xml:space="preserve">here are efforts to bridge this scholarly divide, the </w:t>
      </w:r>
      <w:r w:rsidR="003010DC">
        <w:t>separation</w:t>
      </w:r>
      <w:r w:rsidR="00B13D81">
        <w:t xml:space="preserve"> is a significant issue in the setting Tadjo writes in.</w:t>
      </w:r>
      <w:r w:rsidR="00B13D81">
        <w:rPr>
          <w:rStyle w:val="FootnoteReference"/>
        </w:rPr>
        <w:footnoteReference w:id="19"/>
      </w:r>
      <w:r w:rsidR="00E51451">
        <w:t xml:space="preserve"> </w:t>
      </w:r>
    </w:p>
    <w:p w:rsidR="00E51451" w:rsidRDefault="00E51451" w:rsidP="00E51451">
      <w:pPr>
        <w:spacing w:line="480" w:lineRule="auto"/>
        <w:ind w:firstLine="720"/>
      </w:pPr>
      <w:r>
        <w:t>Her</w:t>
      </w:r>
      <w:r w:rsidR="0020654E">
        <w:t xml:space="preserve"> </w:t>
      </w:r>
      <w:r>
        <w:t xml:space="preserve">global </w:t>
      </w:r>
      <w:r w:rsidR="0020654E">
        <w:t xml:space="preserve">experience and </w:t>
      </w:r>
      <w:r w:rsidR="00FD52F0">
        <w:t>multilingual abilities</w:t>
      </w:r>
      <w:r w:rsidR="003010DC">
        <w:t xml:space="preserve"> have</w:t>
      </w:r>
      <w:r w:rsidR="00FD52F0">
        <w:t xml:space="preserve"> help</w:t>
      </w:r>
      <w:r w:rsidR="003010DC">
        <w:t>ed</w:t>
      </w:r>
      <w:r w:rsidR="0020654E">
        <w:t xml:space="preserve"> her to bridge </w:t>
      </w:r>
      <w:r w:rsidR="005401BD">
        <w:t>the lingu</w:t>
      </w:r>
      <w:r>
        <w:t xml:space="preserve">istic (and cultural) </w:t>
      </w:r>
      <w:r w:rsidR="005401BD">
        <w:t>gap</w:t>
      </w:r>
      <w:r w:rsidR="0020654E">
        <w:t xml:space="preserve">. </w:t>
      </w:r>
      <w:r>
        <w:t>Tadjo</w:t>
      </w:r>
      <w:r w:rsidR="0020654E">
        <w:t xml:space="preserve"> </w:t>
      </w:r>
      <w:r w:rsidR="00121A59">
        <w:t xml:space="preserve">has </w:t>
      </w:r>
      <w:r w:rsidR="003010DC">
        <w:t>written, taught,</w:t>
      </w:r>
      <w:r w:rsidR="0020654E">
        <w:t xml:space="preserve"> and live</w:t>
      </w:r>
      <w:r w:rsidR="00121A59">
        <w:t>d</w:t>
      </w:r>
      <w:r w:rsidR="0020654E">
        <w:t xml:space="preserve"> in Nigeria, Mexico, Rwanda, France, </w:t>
      </w:r>
      <w:r w:rsidR="003010DC">
        <w:t xml:space="preserve">and </w:t>
      </w:r>
      <w:r w:rsidR="0020654E">
        <w:t>the United States. She taught for fourteen years in South Africa at the University of th</w:t>
      </w:r>
      <w:r w:rsidR="00AC100E">
        <w:t>e Witwatersrand as head of the</w:t>
      </w:r>
      <w:r w:rsidR="0020654E">
        <w:t xml:space="preserve"> French department. In 2015 she moved from South </w:t>
      </w:r>
      <w:r w:rsidR="003010DC">
        <w:t>Africa, and she currently divides</w:t>
      </w:r>
      <w:r w:rsidR="0020654E">
        <w:t xml:space="preserve"> her time mainly between Abidjan in Côte D’</w:t>
      </w:r>
      <w:r>
        <w:t>Ivoire and London.</w:t>
      </w:r>
      <w:r w:rsidR="0020654E">
        <w:t xml:space="preserve"> She </w:t>
      </w:r>
      <w:r>
        <w:t>also bridges</w:t>
      </w:r>
      <w:r w:rsidR="003010DC">
        <w:t xml:space="preserve"> the academic</w:t>
      </w:r>
      <w:r w:rsidR="0020654E">
        <w:t xml:space="preserve"> </w:t>
      </w:r>
      <w:r>
        <w:t xml:space="preserve">and the everyday </w:t>
      </w:r>
      <w:r w:rsidR="0010598D">
        <w:t>world,</w:t>
      </w:r>
      <w:r>
        <w:t xml:space="preserve"> </w:t>
      </w:r>
      <w:r w:rsidR="0020654E">
        <w:t xml:space="preserve">her human </w:t>
      </w:r>
      <w:r w:rsidR="00FD52F0">
        <w:t>contact with ordinary Africans</w:t>
      </w:r>
      <w:r w:rsidR="0020654E">
        <w:t xml:space="preserve"> </w:t>
      </w:r>
      <w:r w:rsidR="00FD52F0">
        <w:t>leav</w:t>
      </w:r>
      <w:r>
        <w:t>ing</w:t>
      </w:r>
      <w:r w:rsidR="00FD52F0">
        <w:t xml:space="preserve"> a</w:t>
      </w:r>
      <w:r>
        <w:t>n indelible imprint</w:t>
      </w:r>
      <w:r w:rsidR="00FD52F0">
        <w:t xml:space="preserve"> in her </w:t>
      </w:r>
      <w:r w:rsidR="0020654E">
        <w:t>writings.</w:t>
      </w:r>
      <w:r>
        <w:t xml:space="preserve"> She considers English her “scholarly profession” and French her “creative profession.”</w:t>
      </w:r>
      <w:r>
        <w:rPr>
          <w:rStyle w:val="FootnoteReference"/>
        </w:rPr>
        <w:footnoteReference w:id="20"/>
      </w:r>
      <w:r>
        <w:t xml:space="preserve"> </w:t>
      </w:r>
      <w:r w:rsidR="0010598D">
        <w:t xml:space="preserve">Through her writings she </w:t>
      </w:r>
      <w:r w:rsidR="00AC100E">
        <w:t xml:space="preserve">has </w:t>
      </w:r>
      <w:r w:rsidR="0010598D">
        <w:t>help</w:t>
      </w:r>
      <w:r w:rsidR="00AC100E">
        <w:t>ed</w:t>
      </w:r>
      <w:r w:rsidR="0010598D">
        <w:t xml:space="preserve"> </w:t>
      </w:r>
      <w:r>
        <w:t>English speakers understand the French speaking worlds of Côte D’Ivoire and Rwanda.</w:t>
      </w:r>
    </w:p>
    <w:p w:rsidR="00742992" w:rsidRDefault="0010598D" w:rsidP="007B3321">
      <w:pPr>
        <w:spacing w:line="480" w:lineRule="auto"/>
        <w:ind w:right="360" w:firstLine="720"/>
      </w:pPr>
      <w:r>
        <w:t>Tadjo arrived with twelve other African writers shortly after the end of the brutal genocide that wiped out hundreds of thousands of Rwandans.</w:t>
      </w:r>
      <w:r>
        <w:rPr>
          <w:rStyle w:val="FootnoteReference"/>
        </w:rPr>
        <w:footnoteReference w:id="21"/>
      </w:r>
      <w:r>
        <w:t xml:space="preserve"> </w:t>
      </w:r>
      <w:r w:rsidR="00742992">
        <w:rPr>
          <w:i/>
        </w:rPr>
        <w:t xml:space="preserve">The </w:t>
      </w:r>
      <w:r w:rsidR="00742992">
        <w:rPr>
          <w:i/>
        </w:rPr>
        <w:lastRenderedPageBreak/>
        <w:t>Shadow of Imana, Travels in the Heart of Rwanda</w:t>
      </w:r>
      <w:r w:rsidR="00752DA3">
        <w:t xml:space="preserve"> </w:t>
      </w:r>
      <w:r>
        <w:t>depicts</w:t>
      </w:r>
      <w:r w:rsidR="00752DA3">
        <w:t xml:space="preserve"> Tadjo’s</w:t>
      </w:r>
      <w:r w:rsidR="00742992">
        <w:t xml:space="preserve"> </w:t>
      </w:r>
      <w:r>
        <w:t xml:space="preserve">personal reflection on her </w:t>
      </w:r>
      <w:r w:rsidR="00742992">
        <w:t>travels in Rwanda</w:t>
      </w:r>
      <w:r w:rsidRPr="0010598D">
        <w:t xml:space="preserve"> </w:t>
      </w:r>
      <w:r>
        <w:t>where she recounts seeing the beautiful, lively streets of Kigali, as if the brutal genocide had never happened.</w:t>
      </w:r>
      <w:r w:rsidR="00752DA3">
        <w:t xml:space="preserve"> </w:t>
      </w:r>
      <w:r w:rsidR="00742992">
        <w:t xml:space="preserve">Yet she soon finds that the trauma, the absolute atrocities of the war, still exist in the minds of the people </w:t>
      </w:r>
      <w:r w:rsidR="003010DC">
        <w:t xml:space="preserve">with </w:t>
      </w:r>
      <w:r w:rsidR="00742992">
        <w:t>w</w:t>
      </w:r>
      <w:r>
        <w:t>hom she interacts</w:t>
      </w:r>
      <w:r w:rsidR="00742992">
        <w:t>.</w:t>
      </w:r>
      <w:r w:rsidR="003010DC">
        <w:t xml:space="preserve"> </w:t>
      </w:r>
      <w:r w:rsidR="00752DA3">
        <w:rPr>
          <w:rStyle w:val="FootnoteReference"/>
        </w:rPr>
        <w:footnoteReference w:id="22"/>
      </w:r>
      <w:r w:rsidR="00752DA3">
        <w:t xml:space="preserve">And through her literary and translation abilities, she is able to convey </w:t>
      </w:r>
      <w:r w:rsidR="005364B3">
        <w:t xml:space="preserve">to the reader </w:t>
      </w:r>
      <w:r w:rsidR="00752DA3">
        <w:t xml:space="preserve">what these individuals </w:t>
      </w:r>
      <w:r w:rsidR="005364B3">
        <w:t>see.</w:t>
      </w:r>
    </w:p>
    <w:p w:rsidR="00742992" w:rsidRDefault="00742992" w:rsidP="007B3321">
      <w:pPr>
        <w:spacing w:line="480" w:lineRule="auto"/>
        <w:ind w:right="360"/>
      </w:pPr>
      <w:r>
        <w:tab/>
        <w:t xml:space="preserve">The powerful motif of eyes is most explicit in this book. </w:t>
      </w:r>
      <w:r w:rsidR="003010DC">
        <w:t>Tadjo</w:t>
      </w:r>
      <w:r>
        <w:t xml:space="preserve"> first meets a refugee from Rwa</w:t>
      </w:r>
      <w:r w:rsidR="003010DC">
        <w:t>nda in South Africa before she embarks on her journey</w:t>
      </w:r>
      <w:r>
        <w:t>. She sees something in his ey</w:t>
      </w:r>
      <w:r w:rsidR="003010DC">
        <w:t>es, the world of experience</w:t>
      </w:r>
      <w:r w:rsidR="0010598D">
        <w:t xml:space="preserve"> which she can</w:t>
      </w:r>
      <w:r>
        <w:t xml:space="preserve">not ever quite know, one in which he was forced to travel </w:t>
      </w:r>
      <w:r w:rsidR="003010DC">
        <w:t xml:space="preserve">on foot </w:t>
      </w:r>
      <w:r>
        <w:t>the thousands of miles from Rwanda through Zaire (modern day Democratic Republic of the</w:t>
      </w:r>
      <w:r w:rsidR="0010598D">
        <w:t xml:space="preserve"> Congo) and several other countrie</w:t>
      </w:r>
      <w:r>
        <w:t>s to reach South Africa. Tadjo</w:t>
      </w:r>
      <w:r w:rsidR="003010DC">
        <w:t xml:space="preserve"> also</w:t>
      </w:r>
      <w:r>
        <w:t xml:space="preserve"> reveals the</w:t>
      </w:r>
      <w:r w:rsidR="003010DC">
        <w:t xml:space="preserve"> dramatic</w:t>
      </w:r>
      <w:r>
        <w:t xml:space="preserve"> difference in worlds between a Rwandan genocide survivor and Rwandan tourists </w:t>
      </w:r>
      <w:r w:rsidR="0010598D">
        <w:t xml:space="preserve">in a </w:t>
      </w:r>
      <w:r w:rsidR="003010DC">
        <w:t xml:space="preserve">vignette </w:t>
      </w:r>
      <w:r w:rsidR="0010598D">
        <w:t>where t</w:t>
      </w:r>
      <w:r w:rsidR="00B82076">
        <w:t>his</w:t>
      </w:r>
      <w:r>
        <w:t xml:space="preserve"> man</w:t>
      </w:r>
      <w:r w:rsidR="00B82076">
        <w:t xml:space="preserve"> who lived near </w:t>
      </w:r>
      <w:r w:rsidR="0010598D">
        <w:t>a</w:t>
      </w:r>
      <w:r w:rsidR="00B82076">
        <w:t xml:space="preserve"> church, which</w:t>
      </w:r>
      <w:r>
        <w:t xml:space="preserve"> was the site of a mass massacre by Hutu militants was now giving tour</w:t>
      </w:r>
      <w:r w:rsidR="0010598D">
        <w:t>s</w:t>
      </w:r>
      <w:r>
        <w:t xml:space="preserve"> to the residents</w:t>
      </w:r>
      <w:r w:rsidR="0010598D">
        <w:t xml:space="preserve"> of the town. Tadjo offered her</w:t>
      </w:r>
      <w:r>
        <w:t xml:space="preserve"> account of </w:t>
      </w:r>
      <w:r w:rsidR="0010598D">
        <w:t>how</w:t>
      </w:r>
      <w:r>
        <w:t xml:space="preserve"> she saw this tour guide.</w:t>
      </w:r>
    </w:p>
    <w:p w:rsidR="00742992" w:rsidRDefault="00742992" w:rsidP="00742992">
      <w:pPr>
        <w:ind w:right="360"/>
      </w:pPr>
    </w:p>
    <w:p w:rsidR="00742992" w:rsidRPr="002B6C16" w:rsidRDefault="00742992" w:rsidP="00742992">
      <w:pPr>
        <w:ind w:left="360" w:right="360"/>
        <w:textAlignment w:val="baseline"/>
        <w:rPr>
          <w:rFonts w:cs="Times New Roman"/>
          <w:color w:val="000000"/>
          <w:sz w:val="20"/>
          <w:szCs w:val="20"/>
        </w:rPr>
      </w:pPr>
      <w:r>
        <w:tab/>
      </w:r>
      <w:r w:rsidRPr="002B6C16">
        <w:rPr>
          <w:rFonts w:cs="Times New Roman"/>
          <w:color w:val="000000"/>
          <w:sz w:val="20"/>
          <w:szCs w:val="20"/>
        </w:rPr>
        <w:t xml:space="preserve">“I wonder what will happen to him. Why is he there, amid these human remains, these bones? He explains, replies to questions without betraying any emotion. He touches the relics, pushes open doors, guides the visitors to the places where the remains lie in piles. He displays them as he would display anything else, as if he were in a museum. He talks, knowing that our imagination will never be able to get anywhere close to the reality. Deep down, he does not understand why we are coming to stir up Evil. Perhaps in the end all this will turn against him as he guards the evidence of our inhumanity. He cannot understand </w:t>
      </w:r>
      <w:r w:rsidRPr="002B6C16">
        <w:rPr>
          <w:rFonts w:cs="Times New Roman"/>
          <w:color w:val="000000"/>
          <w:sz w:val="20"/>
          <w:szCs w:val="20"/>
        </w:rPr>
        <w:lastRenderedPageBreak/>
        <w:t xml:space="preserve">what we have come here to seek, what is concealed in our hearts. What hidden motive drives us to gaze wide-eyed at death distorted by </w:t>
      </w:r>
      <w:r w:rsidRPr="00CF6CD1">
        <w:rPr>
          <w:rFonts w:cs="Times New Roman"/>
          <w:color w:val="000000"/>
          <w:sz w:val="20"/>
          <w:szCs w:val="20"/>
        </w:rPr>
        <w:t>hatred?”</w:t>
      </w:r>
      <w:r w:rsidRPr="00CF6CD1">
        <w:rPr>
          <w:rStyle w:val="FootnoteReference"/>
          <w:rFonts w:cs="Times New Roman"/>
          <w:color w:val="000000"/>
          <w:sz w:val="20"/>
          <w:szCs w:val="20"/>
        </w:rPr>
        <w:footnoteReference w:id="23"/>
      </w:r>
    </w:p>
    <w:p w:rsidR="00742992" w:rsidRDefault="00742992" w:rsidP="00742992">
      <w:pPr>
        <w:ind w:right="360"/>
      </w:pPr>
    </w:p>
    <w:p w:rsidR="00742992" w:rsidRDefault="00742992" w:rsidP="00742992">
      <w:pPr>
        <w:spacing w:line="480" w:lineRule="auto"/>
        <w:ind w:firstLine="720"/>
      </w:pPr>
      <w:r>
        <w:t>By asking the questions from the point of view of th</w:t>
      </w:r>
      <w:r w:rsidR="0010598D">
        <w:t>is tour guide</w:t>
      </w:r>
      <w:r>
        <w:t xml:space="preserve">, Tadjo </w:t>
      </w:r>
      <w:r w:rsidR="00B82076">
        <w:t>enables</w:t>
      </w:r>
      <w:r>
        <w:t xml:space="preserve"> the reader to even just slightly </w:t>
      </w:r>
      <w:r w:rsidR="00752DA3">
        <w:t>glimpse</w:t>
      </w:r>
      <w:r>
        <w:t xml:space="preserve"> the experience of this genocide survivor, this Rwandan man, this</w:t>
      </w:r>
      <w:r w:rsidR="0010598D">
        <w:t xml:space="preserve"> African. She tells a story </w:t>
      </w:r>
      <w:r w:rsidR="00AA79F5">
        <w:t>artfully,</w:t>
      </w:r>
      <w:r w:rsidR="00B82076">
        <w:t xml:space="preserve"> </w:t>
      </w:r>
      <w:r w:rsidR="00AA79F5">
        <w:t>in an Afrocentric manner</w:t>
      </w:r>
      <w:r>
        <w:t xml:space="preserve"> </w:t>
      </w:r>
      <w:r w:rsidR="00AA79F5">
        <w:t xml:space="preserve">and </w:t>
      </w:r>
      <w:r w:rsidR="0010598D">
        <w:t>present</w:t>
      </w:r>
      <w:r w:rsidR="00B82076">
        <w:t xml:space="preserve">s a new point of </w:t>
      </w:r>
      <w:r w:rsidR="00E7748D">
        <w:t>view of the human experience of</w:t>
      </w:r>
      <w:r w:rsidR="00B82076">
        <w:t xml:space="preserve"> the aftermath of war.</w:t>
      </w:r>
    </w:p>
    <w:p w:rsidR="0020654E" w:rsidRDefault="0020654E" w:rsidP="00B13D81">
      <w:pPr>
        <w:spacing w:line="480" w:lineRule="auto"/>
      </w:pPr>
    </w:p>
    <w:p w:rsidR="001510AF" w:rsidRPr="001510AF" w:rsidRDefault="001510AF" w:rsidP="00B13D81">
      <w:pPr>
        <w:spacing w:line="480" w:lineRule="auto"/>
        <w:rPr>
          <w:b/>
          <w:sz w:val="32"/>
          <w:szCs w:val="32"/>
        </w:rPr>
      </w:pPr>
      <w:r>
        <w:rPr>
          <w:b/>
          <w:sz w:val="32"/>
          <w:szCs w:val="32"/>
        </w:rPr>
        <w:t>Afrocentricity</w:t>
      </w:r>
      <w:r w:rsidR="00B6034E">
        <w:rPr>
          <w:b/>
          <w:sz w:val="32"/>
          <w:szCs w:val="32"/>
        </w:rPr>
        <w:t xml:space="preserve"> through mythology</w:t>
      </w:r>
    </w:p>
    <w:p w:rsidR="00B13D81" w:rsidRDefault="00B13D81" w:rsidP="00B13D81">
      <w:pPr>
        <w:spacing w:line="480" w:lineRule="auto"/>
      </w:pPr>
      <w:r>
        <w:tab/>
        <w:t xml:space="preserve">The </w:t>
      </w:r>
      <w:r w:rsidR="00752DA3">
        <w:t>way that Tadjo conveys how these Rwandans saw their world fro</w:t>
      </w:r>
      <w:r w:rsidR="00E7748D">
        <w:t>m their own perspectives begs</w:t>
      </w:r>
      <w:r w:rsidR="00752DA3">
        <w:t xml:space="preserve"> a larger question</w:t>
      </w:r>
      <w:r>
        <w:t>: When we are talking about “African issues”, from what perspective are we considering these matters?</w:t>
      </w:r>
      <w:r w:rsidR="00752DA3">
        <w:t xml:space="preserve"> </w:t>
      </w:r>
      <w:r>
        <w:t>Asante</w:t>
      </w:r>
      <w:r w:rsidR="00E7748D">
        <w:t xml:space="preserve"> has coined a</w:t>
      </w:r>
      <w:r>
        <w:t xml:space="preserve"> </w:t>
      </w:r>
      <w:r w:rsidR="00752DA3">
        <w:t xml:space="preserve">term </w:t>
      </w:r>
      <w:r>
        <w:t>“Afrocentricity</w:t>
      </w:r>
      <w:r w:rsidR="00752DA3">
        <w:t xml:space="preserve">” </w:t>
      </w:r>
      <w:r w:rsidR="00E7748D">
        <w:t xml:space="preserve">to </w:t>
      </w:r>
      <w:r w:rsidR="00752DA3">
        <w:t>challenge</w:t>
      </w:r>
      <w:r>
        <w:t xml:space="preserve"> the lens that is used </w:t>
      </w:r>
      <w:r w:rsidR="00E7748D">
        <w:t>to view and depict</w:t>
      </w:r>
      <w:r>
        <w:t xml:space="preserve"> Africa and Africans.</w:t>
      </w:r>
      <w:r w:rsidR="00752DA3">
        <w:rPr>
          <w:rStyle w:val="FootnoteReference"/>
        </w:rPr>
        <w:footnoteReference w:id="24"/>
      </w:r>
      <w:r>
        <w:t xml:space="preserve"> Mazama</w:t>
      </w:r>
      <w:r w:rsidR="00433045">
        <w:t xml:space="preserve"> </w:t>
      </w:r>
      <w:r w:rsidR="00E7748D">
        <w:t>explain</w:t>
      </w:r>
      <w:r w:rsidR="00433045">
        <w:t>s</w:t>
      </w:r>
      <w:r w:rsidR="00B82076">
        <w:t>,</w:t>
      </w:r>
      <w:r>
        <w:t xml:space="preserve"> “Afrocentricity contends that our main problem as African people is our usually unconscious adoption of the western worldview and perspective and their attendant conceptual frameworks.”</w:t>
      </w:r>
      <w:r>
        <w:rPr>
          <w:rStyle w:val="FootnoteReference"/>
        </w:rPr>
        <w:footnoteReference w:id="25"/>
      </w:r>
      <w:r w:rsidR="00433045">
        <w:t xml:space="preserve"> Adapting a different mindset that recognizes</w:t>
      </w:r>
      <w:r>
        <w:t xml:space="preserve"> the importance and significance of </w:t>
      </w:r>
      <w:r w:rsidR="00B82076">
        <w:t xml:space="preserve">understanding </w:t>
      </w:r>
      <w:r>
        <w:t xml:space="preserve">African </w:t>
      </w:r>
      <w:r w:rsidR="00B82076">
        <w:t>cultures</w:t>
      </w:r>
      <w:r>
        <w:t xml:space="preserve"> </w:t>
      </w:r>
      <w:r w:rsidRPr="00B82076">
        <w:t>history from the point of view of the African and n</w:t>
      </w:r>
      <w:r w:rsidR="00433045" w:rsidRPr="00B82076">
        <w:t xml:space="preserve">ot the colonizer </w:t>
      </w:r>
      <w:r w:rsidR="00E7748D">
        <w:t>or outsider permits</w:t>
      </w:r>
      <w:r w:rsidR="00AA79F5">
        <w:t xml:space="preserve"> afrocentric</w:t>
      </w:r>
      <w:r w:rsidR="00433045" w:rsidRPr="00B82076">
        <w:t xml:space="preserve"> views so</w:t>
      </w:r>
      <w:r w:rsidR="00B82076">
        <w:t xml:space="preserve"> critical to grasping the nature of the continent.</w:t>
      </w:r>
    </w:p>
    <w:p w:rsidR="00716CFE" w:rsidRDefault="00E7748D" w:rsidP="00716CFE">
      <w:pPr>
        <w:spacing w:line="480" w:lineRule="auto"/>
        <w:ind w:firstLine="720"/>
      </w:pPr>
      <w:r>
        <w:lastRenderedPageBreak/>
        <w:t xml:space="preserve">One of the ways </w:t>
      </w:r>
      <w:r w:rsidR="00716CFE">
        <w:t xml:space="preserve">Tadjo’s writings reflect </w:t>
      </w:r>
      <w:r w:rsidR="00AA79F5">
        <w:t>a</w:t>
      </w:r>
      <w:r>
        <w:t>frocentricity is through her c</w:t>
      </w:r>
      <w:r w:rsidR="00716CFE">
        <w:t>rucial</w:t>
      </w:r>
      <w:r>
        <w:t xml:space="preserve"> and exten</w:t>
      </w:r>
      <w:r w:rsidR="00716CFE">
        <w:t xml:space="preserve">sive </w:t>
      </w:r>
      <w:r>
        <w:t xml:space="preserve">use of African </w:t>
      </w:r>
      <w:r w:rsidR="00716CFE">
        <w:t>mythology</w:t>
      </w:r>
      <w:r>
        <w:t xml:space="preserve"> in her storytelling.</w:t>
      </w:r>
      <w:r w:rsidR="00716CFE">
        <w:t xml:space="preserve"> Tadjo </w:t>
      </w:r>
      <w:r>
        <w:t>writes</w:t>
      </w:r>
      <w:r w:rsidR="00716CFE">
        <w:t>,</w:t>
      </w:r>
    </w:p>
    <w:p w:rsidR="00716CFE" w:rsidRDefault="00716CFE" w:rsidP="00716CFE"/>
    <w:p w:rsidR="00716CFE" w:rsidRDefault="00716CFE" w:rsidP="00716CFE">
      <w:pPr>
        <w:ind w:left="360" w:right="360"/>
        <w:rPr>
          <w:rFonts w:cs="Times New Roman"/>
          <w:color w:val="000000"/>
          <w:sz w:val="20"/>
          <w:szCs w:val="20"/>
        </w:rPr>
      </w:pPr>
      <w:r w:rsidRPr="007826CC">
        <w:rPr>
          <w:sz w:val="20"/>
          <w:szCs w:val="20"/>
        </w:rPr>
        <w:t>“</w:t>
      </w:r>
      <w:r w:rsidRPr="007826CC">
        <w:rPr>
          <w:rFonts w:cs="Times New Roman"/>
          <w:color w:val="000000"/>
          <w:sz w:val="20"/>
          <w:szCs w:val="20"/>
        </w:rPr>
        <w:t>I follow the African tradition of storytelling which gives me a great freedom of interpretation of our myths and legends. I am interested in preserving the richness of our cultural heritage for the generations to come. Many of us live in big African urban centres or in the Diaspora and are increasingly losing contact with oral traditions. One after the other our stories and mythical characters are disappearing. Instead of lamenting this phenomenon, I feel it is my role as a writer and as an artist to fight against alienation and amnesia.”</w:t>
      </w:r>
      <w:r>
        <w:rPr>
          <w:rStyle w:val="FootnoteReference"/>
          <w:rFonts w:cs="Times New Roman"/>
          <w:color w:val="000000"/>
          <w:sz w:val="20"/>
          <w:szCs w:val="20"/>
        </w:rPr>
        <w:footnoteReference w:id="26"/>
      </w:r>
    </w:p>
    <w:p w:rsidR="00716CFE" w:rsidRDefault="00716CFE" w:rsidP="005F2039">
      <w:pPr>
        <w:ind w:right="360"/>
        <w:rPr>
          <w:rFonts w:cs="Times New Roman"/>
          <w:color w:val="000000"/>
          <w:sz w:val="20"/>
          <w:szCs w:val="20"/>
        </w:rPr>
      </w:pPr>
    </w:p>
    <w:p w:rsidR="005F2039" w:rsidRDefault="005F2039" w:rsidP="00716CFE">
      <w:pPr>
        <w:spacing w:line="480" w:lineRule="auto"/>
        <w:rPr>
          <w:rFonts w:cs="Times New Roman"/>
          <w:i/>
          <w:color w:val="000000"/>
        </w:rPr>
      </w:pPr>
    </w:p>
    <w:p w:rsidR="00B13D81" w:rsidRDefault="00716CFE" w:rsidP="00716CFE">
      <w:pPr>
        <w:spacing w:line="480" w:lineRule="auto"/>
        <w:rPr>
          <w:rFonts w:cs="Times New Roman"/>
          <w:color w:val="000000"/>
        </w:rPr>
      </w:pPr>
      <w:r>
        <w:rPr>
          <w:rFonts w:cs="Times New Roman"/>
          <w:i/>
          <w:color w:val="000000"/>
        </w:rPr>
        <w:t>Lord of the Dance: An African Retelling</w:t>
      </w:r>
      <w:r>
        <w:rPr>
          <w:rFonts w:cs="Times New Roman"/>
          <w:color w:val="000000"/>
        </w:rPr>
        <w:t xml:space="preserve"> focuses on the mythologies of the Senufu people of Côte D’Ivoire.</w:t>
      </w:r>
      <w:r>
        <w:rPr>
          <w:rStyle w:val="FootnoteReference"/>
          <w:rFonts w:cs="Times New Roman"/>
          <w:color w:val="000000"/>
        </w:rPr>
        <w:footnoteReference w:id="27"/>
      </w:r>
      <w:r>
        <w:rPr>
          <w:rFonts w:cs="Times New Roman"/>
          <w:color w:val="000000"/>
        </w:rPr>
        <w:t xml:space="preserve"> Similarly, </w:t>
      </w:r>
      <w:r>
        <w:rPr>
          <w:rFonts w:cs="Times New Roman"/>
          <w:i/>
          <w:color w:val="000000"/>
        </w:rPr>
        <w:t>Mami Wata and the Monster</w:t>
      </w:r>
      <w:r w:rsidR="00B82076">
        <w:rPr>
          <w:rFonts w:cs="Times New Roman"/>
          <w:color w:val="000000"/>
        </w:rPr>
        <w:t xml:space="preserve"> </w:t>
      </w:r>
      <w:r w:rsidR="00E7748D">
        <w:rPr>
          <w:rFonts w:cs="Times New Roman"/>
          <w:color w:val="000000"/>
        </w:rPr>
        <w:t xml:space="preserve">, a story and picture book for children </w:t>
      </w:r>
      <w:r w:rsidR="00B82076">
        <w:rPr>
          <w:rFonts w:cs="Times New Roman"/>
          <w:color w:val="000000"/>
        </w:rPr>
        <w:t>references</w:t>
      </w:r>
      <w:r>
        <w:rPr>
          <w:rFonts w:cs="Times New Roman"/>
          <w:color w:val="000000"/>
        </w:rPr>
        <w:t xml:space="preserve"> a central figure in West and Central African mythology</w:t>
      </w:r>
      <w:r w:rsidR="00B82076">
        <w:rPr>
          <w:rFonts w:cs="Times New Roman"/>
          <w:color w:val="000000"/>
        </w:rPr>
        <w:t>, Mami Wata</w:t>
      </w:r>
      <w:r>
        <w:rPr>
          <w:rFonts w:cs="Times New Roman"/>
          <w:color w:val="000000"/>
        </w:rPr>
        <w:t xml:space="preserve">. Her novel </w:t>
      </w:r>
      <w:r>
        <w:rPr>
          <w:rFonts w:cs="Times New Roman"/>
          <w:i/>
          <w:color w:val="000000"/>
        </w:rPr>
        <w:t>Reine Pokou</w:t>
      </w:r>
      <w:r>
        <w:rPr>
          <w:rFonts w:cs="Times New Roman"/>
          <w:color w:val="000000"/>
        </w:rPr>
        <w:t xml:space="preserve"> </w:t>
      </w:r>
      <w:r w:rsidR="00B82076">
        <w:rPr>
          <w:rFonts w:cs="Times New Roman"/>
          <w:color w:val="000000"/>
        </w:rPr>
        <w:t>incorporates the adult tale and</w:t>
      </w:r>
      <w:r>
        <w:rPr>
          <w:rFonts w:cs="Times New Roman"/>
          <w:color w:val="000000"/>
        </w:rPr>
        <w:t xml:space="preserve"> theme of an old African myth, referencing a “blind kingdom” that int</w:t>
      </w:r>
      <w:r w:rsidR="00B82076">
        <w:rPr>
          <w:rFonts w:cs="Times New Roman"/>
          <w:color w:val="000000"/>
        </w:rPr>
        <w:t>egrates ideas concerning the</w:t>
      </w:r>
      <w:r>
        <w:rPr>
          <w:rFonts w:cs="Times New Roman"/>
          <w:color w:val="000000"/>
        </w:rPr>
        <w:t xml:space="preserve"> blindness, wealth, and corruption of rulers throughout Africa.</w:t>
      </w:r>
      <w:r>
        <w:rPr>
          <w:rStyle w:val="FootnoteReference"/>
          <w:rFonts w:cs="Times New Roman"/>
          <w:color w:val="000000"/>
        </w:rPr>
        <w:footnoteReference w:id="28"/>
      </w:r>
    </w:p>
    <w:p w:rsidR="00716CFE" w:rsidRDefault="00E7748D" w:rsidP="00716CFE">
      <w:pPr>
        <w:spacing w:line="480" w:lineRule="auto"/>
        <w:ind w:right="360" w:firstLine="720"/>
        <w:rPr>
          <w:noProof/>
        </w:rPr>
      </w:pPr>
      <w:r>
        <w:t xml:space="preserve">Tadjo’s </w:t>
      </w:r>
      <w:r w:rsidR="00BF445E">
        <w:t xml:space="preserve">award-wining </w:t>
      </w:r>
      <w:r w:rsidR="00716CFE">
        <w:t>children’s book</w:t>
      </w:r>
      <w:r>
        <w:t>,</w:t>
      </w:r>
      <w:r w:rsidRPr="00E7748D">
        <w:rPr>
          <w:i/>
        </w:rPr>
        <w:t xml:space="preserve"> </w:t>
      </w:r>
      <w:r>
        <w:rPr>
          <w:i/>
        </w:rPr>
        <w:t>Mami Wata and the Monster,</w:t>
      </w:r>
      <w:r w:rsidR="00716CFE">
        <w:t xml:space="preserve"> </w:t>
      </w:r>
      <w:r>
        <w:t>using t</w:t>
      </w:r>
      <w:r w:rsidR="00716CFE">
        <w:t>he lens</w:t>
      </w:r>
      <w:r w:rsidR="009B0AC7">
        <w:t xml:space="preserve"> of mythology reveal</w:t>
      </w:r>
      <w:r>
        <w:t>s</w:t>
      </w:r>
      <w:r w:rsidR="009B0AC7">
        <w:t xml:space="preserve"> Af</w:t>
      </w:r>
      <w:r w:rsidR="00EB62D4">
        <w:t>rica</w:t>
      </w:r>
      <w:r w:rsidR="00716CFE">
        <w:t xml:space="preserve"> through another set of eyes, or </w:t>
      </w:r>
      <w:r>
        <w:t>rather, through one eye</w:t>
      </w:r>
      <w:r w:rsidR="009B0AC7">
        <w:t>.</w:t>
      </w:r>
      <w:r w:rsidR="00716CFE">
        <w:rPr>
          <w:i/>
        </w:rPr>
        <w:t xml:space="preserve"> </w:t>
      </w:r>
      <w:r w:rsidR="002F5C47">
        <w:t>This</w:t>
      </w:r>
      <w:r w:rsidR="00716CFE">
        <w:t xml:space="preserve"> story</w:t>
      </w:r>
      <w:r w:rsidR="002F5C47">
        <w:t xml:space="preserve">, which </w:t>
      </w:r>
      <w:r>
        <w:t>w</w:t>
      </w:r>
      <w:r w:rsidR="002F5C47">
        <w:t>on the UNICEF award in 1993,</w:t>
      </w:r>
      <w:r w:rsidR="00716CFE">
        <w:t xml:space="preserve"> is about a water goddess</w:t>
      </w:r>
      <w:r w:rsidR="00BF445E">
        <w:t>,</w:t>
      </w:r>
      <w:r w:rsidR="00716CFE">
        <w:t xml:space="preserve"> Mami Wata, who is a friend of</w:t>
      </w:r>
      <w:r w:rsidR="00366188">
        <w:t xml:space="preserve"> both</w:t>
      </w:r>
      <w:r w:rsidR="00716CFE">
        <w:t xml:space="preserve"> the fish </w:t>
      </w:r>
      <w:r w:rsidR="00366188">
        <w:t>and</w:t>
      </w:r>
      <w:r w:rsidR="00716CFE">
        <w:t xml:space="preserve"> the fishermen </w:t>
      </w:r>
      <w:r w:rsidR="00716CFE">
        <w:lastRenderedPageBreak/>
        <w:t>who come to her waters.</w:t>
      </w:r>
      <w:r w:rsidR="002F5C47">
        <w:rPr>
          <w:rStyle w:val="FootnoteReference"/>
        </w:rPr>
        <w:footnoteReference w:id="29"/>
      </w:r>
      <w:r w:rsidR="00716CFE">
        <w:t xml:space="preserve"> Yet soon the fishermen complain that a terrible monster eats men, women, and especially children who approach the water. </w:t>
      </w:r>
      <w:r>
        <w:t>It is</w:t>
      </w:r>
      <w:r w:rsidR="00716CFE">
        <w:t xml:space="preserve"> described as “carnivorous</w:t>
      </w:r>
      <w:r w:rsidR="00BF445E">
        <w:t>,</w:t>
      </w:r>
      <w:r w:rsidR="00716CFE">
        <w:t xml:space="preserve">” having a hideous face, an eye in the middle of his forehead, and several rows of very sharp </w:t>
      </w:r>
      <w:r w:rsidR="00716CFE" w:rsidRPr="00CF6CD1">
        <w:t>teeth.”</w:t>
      </w:r>
      <w:r w:rsidR="00716CFE">
        <w:rPr>
          <w:rStyle w:val="FootnoteReference"/>
        </w:rPr>
        <w:footnoteReference w:id="30"/>
      </w:r>
      <w:r w:rsidR="00CD7383">
        <w:t xml:space="preserve"> </w:t>
      </w:r>
      <w:r w:rsidR="00716CFE">
        <w:t>Yet when Mami Wata c</w:t>
      </w:r>
      <w:r w:rsidR="00BF445E">
        <w:t>o</w:t>
      </w:r>
      <w:r w:rsidR="00716CFE">
        <w:t>me</w:t>
      </w:r>
      <w:r w:rsidR="00BF445E">
        <w:t>s</w:t>
      </w:r>
      <w:r w:rsidR="00716CFE">
        <w:t xml:space="preserve"> to inv</w:t>
      </w:r>
      <w:r w:rsidR="00BF445E">
        <w:t>estigate this fiend, she notices</w:t>
      </w:r>
      <w:r w:rsidR="00716CFE">
        <w:t xml:space="preserve"> </w:t>
      </w:r>
      <w:r w:rsidR="00BF445E">
        <w:t xml:space="preserve">that </w:t>
      </w:r>
      <w:r w:rsidR="00716CFE">
        <w:t xml:space="preserve">“he moaned a lot…his body shook all over. He burst into tears… and fell into a deep </w:t>
      </w:r>
      <w:r w:rsidR="00716CFE" w:rsidRPr="00CF6CD1">
        <w:t>sleep.”</w:t>
      </w:r>
      <w:r w:rsidR="00716CFE">
        <w:rPr>
          <w:rStyle w:val="FootnoteReference"/>
        </w:rPr>
        <w:footnoteReference w:id="31"/>
      </w:r>
      <w:r w:rsidR="00716CFE">
        <w:t xml:space="preserve">  Having pity on the monster, the goddess comforts him. It is revealed </w:t>
      </w:r>
      <w:r w:rsidR="00BF445E">
        <w:t xml:space="preserve">that </w:t>
      </w:r>
      <w:r w:rsidR="00716CFE">
        <w:t xml:space="preserve">a witch cursed the monster when he had refused to marry one of the witch’s daughters. Mami Wata proceeds to teach him how to dance and sing, and </w:t>
      </w:r>
      <w:r w:rsidR="00BF445E">
        <w:t>“</w:t>
      </w:r>
      <w:r w:rsidR="00716CFE">
        <w:t>while he was still laughing, Mami Wata saw he had changed completely. He had become the young man he was before.”</w:t>
      </w:r>
      <w:r w:rsidR="00716CFE">
        <w:rPr>
          <w:rStyle w:val="FootnoteReference"/>
        </w:rPr>
        <w:footnoteReference w:id="32"/>
      </w:r>
      <w:r w:rsidR="00716CFE">
        <w:t xml:space="preserve"> The men, women, and children he </w:t>
      </w:r>
      <w:r w:rsidR="00BF445E">
        <w:t>had eaten</w:t>
      </w:r>
      <w:r w:rsidR="00716CFE">
        <w:t xml:space="preserve"> reappear and travel home, and everyone celebrates in the villages. “Everybody rejoiced, the huts were decorated and beautiful boats danced down the </w:t>
      </w:r>
      <w:r w:rsidR="00716CFE" w:rsidRPr="00CF6CD1">
        <w:t>river.”</w:t>
      </w:r>
      <w:r w:rsidR="00716CFE">
        <w:rPr>
          <w:rStyle w:val="FootnoteReference"/>
        </w:rPr>
        <w:footnoteReference w:id="33"/>
      </w:r>
      <w:r w:rsidR="00716CFE" w:rsidRPr="004B62FE">
        <w:rPr>
          <w:noProof/>
        </w:rPr>
        <w:t xml:space="preserve"> </w:t>
      </w:r>
    </w:p>
    <w:p w:rsidR="00716CFE" w:rsidRDefault="00716CFE" w:rsidP="00716CFE">
      <w:pPr>
        <w:spacing w:line="480" w:lineRule="auto"/>
        <w:ind w:right="360"/>
      </w:pPr>
      <w:r>
        <w:rPr>
          <w:noProof/>
        </w:rPr>
        <w:lastRenderedPageBreak/>
        <w:drawing>
          <wp:inline distT="0" distB="0" distL="0" distR="0">
            <wp:extent cx="3325091" cy="3302000"/>
            <wp:effectExtent l="0" t="0" r="2540" b="0"/>
            <wp:docPr id="3" name="Picture 3" descr="Macintosh HD:Users:timothysteckler:Desktop:Screen Shot 2017-11-20 at 10.53.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mothysteckler:Desktop:Screen Shot 2017-11-20 at 10.53.27 PM.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5365" cy="3302272"/>
                    </a:xfrm>
                    <a:prstGeom prst="rect">
                      <a:avLst/>
                    </a:prstGeom>
                    <a:noFill/>
                    <a:ln>
                      <a:noFill/>
                    </a:ln>
                  </pic:spPr>
                </pic:pic>
              </a:graphicData>
            </a:graphic>
          </wp:inline>
        </w:drawing>
      </w:r>
      <w:r>
        <w:rPr>
          <w:rStyle w:val="FootnoteReference"/>
        </w:rPr>
        <w:footnoteReference w:id="34"/>
      </w:r>
    </w:p>
    <w:p w:rsidR="005F2039" w:rsidRDefault="00716CFE" w:rsidP="00145884">
      <w:pPr>
        <w:spacing w:line="480" w:lineRule="auto"/>
        <w:ind w:right="360"/>
      </w:pPr>
      <w:r>
        <w:tab/>
        <w:t>Tadjo’s account of Mami Wata is a beautiful recounting of an ancient West and</w:t>
      </w:r>
      <w:r w:rsidR="00CD7383">
        <w:t xml:space="preserve"> Central African folktale. T</w:t>
      </w:r>
      <w:r w:rsidR="00BF445E">
        <w:t>hrough invoking these tales</w:t>
      </w:r>
      <w:r>
        <w:t>, Tadjo is able to not only bring alive an old story to a young audience, but tell</w:t>
      </w:r>
      <w:r w:rsidR="00CD7383">
        <w:t xml:space="preserve">s </w:t>
      </w:r>
      <w:r>
        <w:t xml:space="preserve">it in a way that celebrates the modern African experience </w:t>
      </w:r>
      <w:r w:rsidR="00CD7383">
        <w:t>so that</w:t>
      </w:r>
      <w:r>
        <w:t xml:space="preserve"> that all readers, young and old, black African</w:t>
      </w:r>
      <w:r w:rsidR="00BF445E">
        <w:t>, Asian, American or European can</w:t>
      </w:r>
      <w:r>
        <w:t xml:space="preserve"> understand. Tadjo likely learned more extensively about her through her experiences teaching in Nigeria, where the tradition of this mermaid-liked goddess is particularly alive. Ma</w:t>
      </w:r>
      <w:r w:rsidR="00BF445E">
        <w:t>mi Wata appears in numerous stories,</w:t>
      </w:r>
      <w:r>
        <w:t xml:space="preserve"> often as a seductive or luring figure to local fishermen.</w:t>
      </w:r>
      <w:r>
        <w:rPr>
          <w:rStyle w:val="FootnoteReference"/>
        </w:rPr>
        <w:footnoteReference w:id="35"/>
      </w:r>
      <w:r w:rsidR="00CD7383">
        <w:t xml:space="preserve"> Yet Tadjo transform</w:t>
      </w:r>
      <w:r>
        <w:t>s this figure into a more empowering image. In effect, she is using Mami Wata as an empowered female figure who c</w:t>
      </w:r>
      <w:r w:rsidR="00FF36FE">
        <w:t>reat</w:t>
      </w:r>
      <w:r>
        <w:t xml:space="preserve">es </w:t>
      </w:r>
      <w:r>
        <w:lastRenderedPageBreak/>
        <w:t>change, in a</w:t>
      </w:r>
      <w:r w:rsidR="00FF36FE">
        <w:t>n a</w:t>
      </w:r>
      <w:r>
        <w:t>frocentric way.</w:t>
      </w:r>
      <w:r>
        <w:rPr>
          <w:rStyle w:val="FootnoteReference"/>
        </w:rPr>
        <w:footnoteReference w:id="36"/>
      </w:r>
      <w:r w:rsidR="00CD7383">
        <w:t xml:space="preserve"> </w:t>
      </w:r>
      <w:r>
        <w:t>Tadjo provides b</w:t>
      </w:r>
      <w:r w:rsidR="00CD7383">
        <w:t>right, b</w:t>
      </w:r>
      <w:r>
        <w:t>eautiful illustrat</w:t>
      </w:r>
      <w:r w:rsidR="00FF36FE">
        <w:t xml:space="preserve">ions of various scenes </w:t>
      </w:r>
      <w:r w:rsidR="00CD7383">
        <w:t xml:space="preserve">in the story </w:t>
      </w:r>
      <w:r w:rsidR="00FF36FE">
        <w:t xml:space="preserve">giving the reader a visual </w:t>
      </w:r>
      <w:r>
        <w:t xml:space="preserve">to </w:t>
      </w:r>
      <w:r w:rsidR="00FF36FE">
        <w:t>enhance</w:t>
      </w:r>
      <w:r>
        <w:t xml:space="preserve"> the African setting </w:t>
      </w:r>
      <w:r w:rsidR="00FF36FE">
        <w:t xml:space="preserve">of </w:t>
      </w:r>
      <w:r>
        <w:t>the myth</w:t>
      </w:r>
      <w:r w:rsidR="00FF36FE">
        <w:t>.</w:t>
      </w:r>
      <w:r>
        <w:t xml:space="preserve"> </w:t>
      </w:r>
      <w:r w:rsidR="00CD7383">
        <w:t>T</w:t>
      </w:r>
      <w:r w:rsidR="00FF36FE">
        <w:t xml:space="preserve">he positive story and happy, colorful illustrations </w:t>
      </w:r>
      <w:r>
        <w:t xml:space="preserve">bolster a strong message of hope. An </w:t>
      </w:r>
      <w:r w:rsidR="00587A4C">
        <w:t>empowered</w:t>
      </w:r>
      <w:r>
        <w:t xml:space="preserve"> female African figure pierces throu</w:t>
      </w:r>
      <w:r w:rsidR="00587A4C">
        <w:t xml:space="preserve">gh and resolves a conflict </w:t>
      </w:r>
      <w:r w:rsidR="00FF36FE">
        <w:t>f</w:t>
      </w:r>
      <w:r w:rsidR="00587A4C">
        <w:t>or the betterment of everyone</w:t>
      </w:r>
      <w:r w:rsidR="00FF36FE">
        <w:t xml:space="preserve"> in the community</w:t>
      </w:r>
      <w:r w:rsidR="00587A4C">
        <w:t>. Hope is the resounding message from this book.</w:t>
      </w:r>
    </w:p>
    <w:p w:rsidR="00145884" w:rsidRDefault="00145884" w:rsidP="00145884">
      <w:pPr>
        <w:spacing w:line="480" w:lineRule="auto"/>
        <w:ind w:right="360"/>
      </w:pPr>
    </w:p>
    <w:p w:rsidR="00145884" w:rsidRDefault="00B13D81" w:rsidP="00145884">
      <w:pPr>
        <w:spacing w:line="480" w:lineRule="auto"/>
        <w:rPr>
          <w:sz w:val="32"/>
          <w:szCs w:val="32"/>
        </w:rPr>
      </w:pPr>
      <w:r w:rsidRPr="004A02D4">
        <w:rPr>
          <w:b/>
          <w:sz w:val="32"/>
          <w:szCs w:val="32"/>
        </w:rPr>
        <w:t>Conclusion</w:t>
      </w:r>
    </w:p>
    <w:p w:rsidR="00B13D81" w:rsidRPr="00FD4CC0" w:rsidRDefault="00587A4C" w:rsidP="00FD4CC0">
      <w:pPr>
        <w:spacing w:line="480" w:lineRule="auto"/>
        <w:ind w:firstLine="720"/>
        <w:rPr>
          <w:sz w:val="32"/>
          <w:szCs w:val="32"/>
        </w:rPr>
      </w:pPr>
      <w:r>
        <w:t xml:space="preserve">The resounding message of hope is not specific to </w:t>
      </w:r>
      <w:r w:rsidR="00B6034E">
        <w:rPr>
          <w:i/>
        </w:rPr>
        <w:t xml:space="preserve">Mami Wata, </w:t>
      </w:r>
      <w:r w:rsidR="00B6034E">
        <w:t>where Tadjo teaches her readers young a</w:t>
      </w:r>
      <w:r w:rsidR="00FF36FE">
        <w:t>nd old of an old African legend</w:t>
      </w:r>
      <w:r w:rsidR="00B6034E">
        <w:t xml:space="preserve"> </w:t>
      </w:r>
      <w:r w:rsidR="00FF36FE">
        <w:t xml:space="preserve">and </w:t>
      </w:r>
      <w:r w:rsidR="00B6034E">
        <w:t>elevat</w:t>
      </w:r>
      <w:r w:rsidR="00FF36FE">
        <w:t>es the</w:t>
      </w:r>
      <w:r w:rsidR="00B6034E">
        <w:t xml:space="preserve"> powerful African female hero</w:t>
      </w:r>
      <w:r w:rsidR="00FF36FE">
        <w:t xml:space="preserve">. Hope </w:t>
      </w:r>
      <w:r>
        <w:t xml:space="preserve">is also found in </w:t>
      </w:r>
      <w:r>
        <w:rPr>
          <w:i/>
        </w:rPr>
        <w:t>The Shadow of Imana</w:t>
      </w:r>
      <w:r>
        <w:t xml:space="preserve">, </w:t>
      </w:r>
      <w:r w:rsidR="00B6034E">
        <w:t>where Tadjo not only writes about the hardship of Rwandans, but giv</w:t>
      </w:r>
      <w:r w:rsidR="00CD7383">
        <w:t xml:space="preserve">es the reader an image </w:t>
      </w:r>
      <w:r w:rsidR="00B6034E">
        <w:t xml:space="preserve">individuals emerging from </w:t>
      </w:r>
      <w:r w:rsidR="00CD7383">
        <w:t>genocide</w:t>
      </w:r>
      <w:r w:rsidR="00B6034E">
        <w:t xml:space="preserve"> and doing what they need to in order to </w:t>
      </w:r>
      <w:r w:rsidR="00FF36FE">
        <w:t>move forward to</w:t>
      </w:r>
      <w:r w:rsidR="00B6034E">
        <w:t xml:space="preserve"> normalcy and peace.</w:t>
      </w:r>
      <w:r w:rsidR="00FF36FE">
        <w:t xml:space="preserve"> So too</w:t>
      </w:r>
      <w:r>
        <w:t xml:space="preserve"> </w:t>
      </w:r>
      <w:r>
        <w:rPr>
          <w:i/>
        </w:rPr>
        <w:t>Far From My Father</w:t>
      </w:r>
      <w:r w:rsidR="00D062AC">
        <w:t>,</w:t>
      </w:r>
      <w:r w:rsidR="00B6034E">
        <w:t xml:space="preserve"> convey</w:t>
      </w:r>
      <w:r w:rsidR="00FF36FE">
        <w:t>s</w:t>
      </w:r>
      <w:r w:rsidR="00B6034E">
        <w:t xml:space="preserve"> a feeling of acceptance and forward movement despite the catastrophe that </w:t>
      </w:r>
      <w:r w:rsidR="00FF36FE">
        <w:t>has befallen</w:t>
      </w:r>
      <w:r w:rsidR="00B6034E">
        <w:t xml:space="preserve"> her native Côte D’Ivoire.</w:t>
      </w:r>
      <w:r>
        <w:rPr>
          <w:i/>
        </w:rPr>
        <w:t xml:space="preserve"> </w:t>
      </w:r>
      <w:r w:rsidR="00FF36FE">
        <w:t>Not only is she a masterful storyteller, but she is able to</w:t>
      </w:r>
      <w:r w:rsidR="00B13D81">
        <w:t xml:space="preserve"> pull her readers </w:t>
      </w:r>
      <w:r w:rsidR="00FF36FE">
        <w:t xml:space="preserve">in </w:t>
      </w:r>
      <w:r w:rsidR="00CD7383">
        <w:t xml:space="preserve">to look at Africa </w:t>
      </w:r>
      <w:r w:rsidR="00FF36FE">
        <w:t>through</w:t>
      </w:r>
      <w:r w:rsidR="00B13D81">
        <w:t xml:space="preserve"> the “eyes” of </w:t>
      </w:r>
      <w:r w:rsidR="00FF36FE">
        <w:t xml:space="preserve">an </w:t>
      </w:r>
      <w:r w:rsidR="00B13D81">
        <w:t>African</w:t>
      </w:r>
      <w:r w:rsidR="00FF36FE">
        <w:t>.</w:t>
      </w:r>
      <w:r w:rsidR="00B13D81">
        <w:t xml:space="preserve"> Tadjo</w:t>
      </w:r>
      <w:r w:rsidR="00FF36FE">
        <w:t>’s a</w:t>
      </w:r>
      <w:r w:rsidR="00B13D81">
        <w:t>frocentric perspective elevates that perspective to counter stereotypes, cultural norms, and the fears that are so beset in conversation</w:t>
      </w:r>
      <w:r w:rsidR="00B6034E">
        <w:t xml:space="preserve">s involving </w:t>
      </w:r>
      <w:r w:rsidR="00CD7383">
        <w:t>the continent,</w:t>
      </w:r>
      <w:r w:rsidR="00B6034E">
        <w:t xml:space="preserve"> leav</w:t>
      </w:r>
      <w:r w:rsidR="00FF36FE">
        <w:t>ing</w:t>
      </w:r>
      <w:r w:rsidR="00B6034E">
        <w:t xml:space="preserve"> her </w:t>
      </w:r>
      <w:r w:rsidR="00B6034E">
        <w:lastRenderedPageBreak/>
        <w:t xml:space="preserve">readers with a resounding sense of the humanity and hope </w:t>
      </w:r>
      <w:r w:rsidR="00FF36FE">
        <w:t>that characterize</w:t>
      </w:r>
      <w:r w:rsidR="00B6034E">
        <w:t xml:space="preserve"> Africans</w:t>
      </w:r>
      <w:r w:rsidR="00FF36FE">
        <w:t>.</w:t>
      </w:r>
      <w:r w:rsidR="00B13D81">
        <w:t xml:space="preserve"> Tadjo elevates the conversation about Africa and our humanity to new heights.</w:t>
      </w:r>
    </w:p>
    <w:p w:rsidR="00B13D81" w:rsidRDefault="00B13D81" w:rsidP="00B13D81"/>
    <w:p w:rsidR="00145884" w:rsidRDefault="00145884" w:rsidP="00B13D81">
      <w:pPr>
        <w:rPr>
          <w:sz w:val="32"/>
          <w:szCs w:val="32"/>
          <w:u w:val="single"/>
        </w:rPr>
      </w:pPr>
    </w:p>
    <w:p w:rsidR="00145884" w:rsidRDefault="00145884" w:rsidP="00B13D81">
      <w:pPr>
        <w:rPr>
          <w:sz w:val="32"/>
          <w:szCs w:val="32"/>
          <w:u w:val="single"/>
        </w:rPr>
      </w:pPr>
    </w:p>
    <w:p w:rsidR="00145884" w:rsidRDefault="00145884" w:rsidP="00B13D81">
      <w:pPr>
        <w:rPr>
          <w:sz w:val="32"/>
          <w:szCs w:val="32"/>
          <w:u w:val="single"/>
        </w:rPr>
      </w:pPr>
    </w:p>
    <w:p w:rsidR="00145884" w:rsidRDefault="00145884" w:rsidP="00B13D81">
      <w:pPr>
        <w:rPr>
          <w:sz w:val="32"/>
          <w:szCs w:val="32"/>
          <w:u w:val="single"/>
        </w:rPr>
      </w:pPr>
    </w:p>
    <w:p w:rsidR="00145884" w:rsidRDefault="00145884" w:rsidP="00B13D81">
      <w:pPr>
        <w:rPr>
          <w:sz w:val="32"/>
          <w:szCs w:val="32"/>
          <w:u w:val="single"/>
        </w:rPr>
      </w:pPr>
    </w:p>
    <w:p w:rsidR="00145884" w:rsidRDefault="00145884" w:rsidP="00B13D81">
      <w:pPr>
        <w:rPr>
          <w:sz w:val="32"/>
          <w:szCs w:val="32"/>
          <w:u w:val="single"/>
        </w:rPr>
      </w:pPr>
    </w:p>
    <w:p w:rsidR="00FD4CC0" w:rsidRDefault="00FD4CC0">
      <w:pPr>
        <w:rPr>
          <w:sz w:val="32"/>
          <w:szCs w:val="32"/>
          <w:u w:val="single"/>
        </w:rPr>
      </w:pPr>
      <w:r>
        <w:rPr>
          <w:sz w:val="32"/>
          <w:szCs w:val="32"/>
          <w:u w:val="single"/>
        </w:rPr>
        <w:br w:type="page"/>
      </w:r>
    </w:p>
    <w:p w:rsidR="00B13D81" w:rsidRDefault="007B3321" w:rsidP="00B13D81">
      <w:pPr>
        <w:rPr>
          <w:sz w:val="32"/>
          <w:szCs w:val="32"/>
          <w:u w:val="single"/>
        </w:rPr>
      </w:pPr>
      <w:r>
        <w:rPr>
          <w:sz w:val="32"/>
          <w:szCs w:val="32"/>
          <w:u w:val="single"/>
        </w:rPr>
        <w:lastRenderedPageBreak/>
        <w:t>Bibliography</w:t>
      </w:r>
    </w:p>
    <w:p w:rsidR="007B3321" w:rsidRDefault="007B3321" w:rsidP="007B3321">
      <w:pPr>
        <w:ind w:left="720" w:hanging="720"/>
      </w:pPr>
    </w:p>
    <w:p w:rsidR="007B3321" w:rsidRDefault="007B3321" w:rsidP="007B3321">
      <w:pPr>
        <w:ind w:left="720" w:hanging="720"/>
      </w:pPr>
      <w:r w:rsidRPr="00560B56">
        <w:t xml:space="preserve">"Africa: Anglophone vs Francophone in the African Union." AllAfrica. December 01, 2015. Accessed November 19, 2017. </w:t>
      </w:r>
      <w:r w:rsidRPr="00354629">
        <w:t>http://allafrica.com/stories/201511302599.html</w:t>
      </w:r>
      <w:r w:rsidRPr="00560B56">
        <w:t>.</w:t>
      </w:r>
    </w:p>
    <w:p w:rsidR="00B13D81" w:rsidRDefault="00B13D81" w:rsidP="00B13D81">
      <w:pPr>
        <w:rPr>
          <w:sz w:val="32"/>
          <w:szCs w:val="32"/>
        </w:rPr>
      </w:pPr>
    </w:p>
    <w:p w:rsidR="00752DA3" w:rsidRDefault="00752DA3" w:rsidP="00752DA3">
      <w:pPr>
        <w:ind w:left="720" w:hanging="720"/>
        <w:rPr>
          <w:sz w:val="32"/>
          <w:szCs w:val="32"/>
        </w:rPr>
      </w:pPr>
      <w:r w:rsidRPr="00752DA3">
        <w:t>Asante, Molefi K. </w:t>
      </w:r>
      <w:r w:rsidRPr="00752DA3">
        <w:rPr>
          <w:i/>
          <w:iCs/>
        </w:rPr>
        <w:t>Afrocentricity, the theory of social change</w:t>
      </w:r>
      <w:r w:rsidRPr="00752DA3">
        <w:t>. Chicago, IL: African American Images, 2003</w:t>
      </w:r>
    </w:p>
    <w:p w:rsidR="00FD4CC0" w:rsidRDefault="00FD4CC0" w:rsidP="007B3321">
      <w:pPr>
        <w:ind w:left="720" w:hanging="720"/>
      </w:pPr>
    </w:p>
    <w:p w:rsidR="007B3321" w:rsidRDefault="007B3321" w:rsidP="007B3321">
      <w:pPr>
        <w:ind w:left="720" w:hanging="720"/>
      </w:pPr>
      <w:r w:rsidRPr="00884334">
        <w:t xml:space="preserve">"Cote D'Ivoire." World Atlas - Maps, Geography, travel. April 07, 2017. Accessed November 19, 2017. </w:t>
      </w:r>
      <w:r w:rsidRPr="00354629">
        <w:t>http://www.worldatlas.com/webimage/countrys/africa/ci.htm</w:t>
      </w:r>
      <w:r>
        <w:t>.</w:t>
      </w:r>
    </w:p>
    <w:p w:rsidR="00752DA3" w:rsidRPr="00354629" w:rsidRDefault="00752DA3" w:rsidP="00B13D81">
      <w:pPr>
        <w:rPr>
          <w:sz w:val="32"/>
          <w:szCs w:val="32"/>
        </w:rPr>
      </w:pPr>
    </w:p>
    <w:p w:rsidR="00B13D81" w:rsidRDefault="00B13D81" w:rsidP="00B13D81">
      <w:pPr>
        <w:ind w:left="720" w:hanging="720"/>
      </w:pPr>
      <w:r w:rsidRPr="003B4C2D">
        <w:t>Dickovick, J. Tyler. </w:t>
      </w:r>
      <w:r w:rsidRPr="003B4C2D">
        <w:rPr>
          <w:i/>
          <w:iCs/>
        </w:rPr>
        <w:t>Africa</w:t>
      </w:r>
      <w:r w:rsidRPr="003B4C2D">
        <w:t>. Landam, MD: Stryker-Post publications, 2014.</w:t>
      </w:r>
    </w:p>
    <w:p w:rsidR="00B13D81" w:rsidRDefault="00B13D81" w:rsidP="00B13D81">
      <w:pPr>
        <w:ind w:left="720" w:hanging="720"/>
      </w:pPr>
    </w:p>
    <w:p w:rsidR="00B13D81" w:rsidRDefault="00B13D81" w:rsidP="00B13D81"/>
    <w:p w:rsidR="00B13D81" w:rsidRPr="002C70E5" w:rsidRDefault="00B13D81" w:rsidP="00B13D81">
      <w:pPr>
        <w:ind w:left="720" w:hanging="720"/>
        <w:rPr>
          <w:lang w:val="fr-FR"/>
        </w:rPr>
      </w:pPr>
      <w:r w:rsidRPr="002C70E5">
        <w:rPr>
          <w:lang w:val="fr-FR"/>
        </w:rPr>
        <w:t>Fokwang, Jude. </w:t>
      </w:r>
      <w:r w:rsidRPr="002C70E5">
        <w:rPr>
          <w:i/>
          <w:iCs/>
          <w:lang w:val="fr-FR"/>
        </w:rPr>
        <w:t>Canadian Journal of African Studies / Revue Canadienne Des Études Africaines</w:t>
      </w:r>
      <w:r w:rsidRPr="002C70E5">
        <w:rPr>
          <w:lang w:val="fr-FR"/>
        </w:rPr>
        <w:t> 38, no. 2 (2004): 467-69. doi:10.2307/4107321.</w:t>
      </w:r>
    </w:p>
    <w:p w:rsidR="00B13D81" w:rsidRPr="002C70E5" w:rsidRDefault="00B13D81" w:rsidP="00B13D81">
      <w:pPr>
        <w:ind w:left="720" w:hanging="720"/>
        <w:rPr>
          <w:lang w:val="fr-FR"/>
        </w:rPr>
      </w:pPr>
    </w:p>
    <w:p w:rsidR="00B13D81" w:rsidRDefault="00B13D81" w:rsidP="00B13D81">
      <w:pPr>
        <w:ind w:left="720" w:hanging="720"/>
      </w:pPr>
      <w:r w:rsidRPr="002C70E5">
        <w:rPr>
          <w:lang w:val="fr-FR"/>
        </w:rPr>
        <w:t xml:space="preserve">Garane, Jeanne. </w:t>
      </w:r>
      <w:r w:rsidRPr="00EF581D">
        <w:t>"Véronique Tadjo." </w:t>
      </w:r>
      <w:r w:rsidRPr="00EF581D">
        <w:rPr>
          <w:i/>
          <w:iCs/>
        </w:rPr>
        <w:t>Contemporary African Writers</w:t>
      </w:r>
      <w:r w:rsidRPr="00EF581D">
        <w:t>, Tanure (ed. and introd.) Ojaide, Gale, 2011, pp. 260-267. Dictionary of Literary Biography (DLB): 360. EBSCO</w:t>
      </w:r>
      <w:r w:rsidRPr="00EF581D">
        <w:rPr>
          <w:i/>
          <w:iCs/>
        </w:rPr>
        <w:t>host</w:t>
      </w:r>
      <w:r w:rsidRPr="00EF581D">
        <w:t>,</w:t>
      </w:r>
    </w:p>
    <w:p w:rsidR="00B13D81" w:rsidRDefault="00B13D81" w:rsidP="00B13D81">
      <w:pPr>
        <w:ind w:left="720" w:hanging="720"/>
      </w:pPr>
    </w:p>
    <w:p w:rsidR="00B13D81" w:rsidRDefault="00B13D81" w:rsidP="00B13D81">
      <w:pPr>
        <w:ind w:left="720" w:hanging="720"/>
      </w:pPr>
      <w:r w:rsidRPr="005730B2">
        <w:t>Gray, Stephen. 2003. "Véronique Tadjo Speaks with Stephen Gray." </w:t>
      </w:r>
      <w:r w:rsidRPr="005730B2">
        <w:rPr>
          <w:i/>
          <w:iCs/>
        </w:rPr>
        <w:t>Research In African Literatures</w:t>
      </w:r>
      <w:r w:rsidRPr="005730B2">
        <w:t> 34, no. 3: 142. </w:t>
      </w:r>
      <w:r w:rsidRPr="005730B2">
        <w:rPr>
          <w:i/>
          <w:iCs/>
        </w:rPr>
        <w:t>Academic Search Complete</w:t>
      </w:r>
      <w:r w:rsidRPr="005730B2">
        <w:t>, EBSCO</w:t>
      </w:r>
      <w:r w:rsidRPr="005730B2">
        <w:rPr>
          <w:i/>
          <w:iCs/>
        </w:rPr>
        <w:t>host</w:t>
      </w:r>
      <w:r w:rsidRPr="005730B2">
        <w:t> (accessed November 20, 2017).</w:t>
      </w:r>
    </w:p>
    <w:p w:rsidR="00B13D81" w:rsidRDefault="00B13D81" w:rsidP="00B13D81"/>
    <w:p w:rsidR="00C04A12" w:rsidRPr="00C04A12" w:rsidRDefault="00C04A12" w:rsidP="00C04A12">
      <w:pPr>
        <w:pStyle w:val="FootnoteText"/>
        <w:ind w:left="720" w:hanging="720"/>
      </w:pPr>
      <w:r w:rsidRPr="00C04A12">
        <w:t>Läderach, P., A. Martinez-Valle, G. Schroth, and N. Castro. 2013. "Predicting the future climatic suitability for cocoa farming of the world's leading producer countries, Ghana and Côte d'Ivoire." </w:t>
      </w:r>
      <w:r w:rsidRPr="00C04A12">
        <w:rPr>
          <w:i/>
          <w:iCs/>
        </w:rPr>
        <w:t>Climatic Change</w:t>
      </w:r>
      <w:r w:rsidRPr="00C04A12">
        <w:t> 119, no. 3/4: 841-854. </w:t>
      </w:r>
      <w:r w:rsidRPr="00C04A12">
        <w:rPr>
          <w:i/>
          <w:iCs/>
        </w:rPr>
        <w:t>Academic Search Complete</w:t>
      </w:r>
      <w:r w:rsidRPr="00C04A12">
        <w:t>, EBSCO</w:t>
      </w:r>
      <w:r w:rsidRPr="00C04A12">
        <w:rPr>
          <w:i/>
          <w:iCs/>
        </w:rPr>
        <w:t>host</w:t>
      </w:r>
      <w:r w:rsidRPr="00C04A12">
        <w:t> (accessed December 13, 2017).</w:t>
      </w:r>
    </w:p>
    <w:p w:rsidR="007B3321" w:rsidRDefault="007B3321" w:rsidP="007B3321">
      <w:pPr>
        <w:ind w:left="720" w:hanging="720"/>
      </w:pPr>
    </w:p>
    <w:p w:rsidR="007B3321" w:rsidRDefault="007B3321" w:rsidP="007B3321">
      <w:pPr>
        <w:ind w:left="720" w:hanging="720"/>
      </w:pPr>
      <w:r w:rsidRPr="003F1686">
        <w:t>Library</w:t>
      </w:r>
      <w:r>
        <w:t xml:space="preserve"> o</w:t>
      </w:r>
      <w:r w:rsidRPr="003F1686">
        <w:t>f</w:t>
      </w:r>
      <w:r>
        <w:t xml:space="preserve"> </w:t>
      </w:r>
      <w:r w:rsidRPr="003F1686">
        <w:t>Congress. “Véronique Tadjo.” </w:t>
      </w:r>
      <w:r w:rsidRPr="003F1686">
        <w:rPr>
          <w:i/>
          <w:iCs/>
        </w:rPr>
        <w:t>YouTube</w:t>
      </w:r>
      <w:r w:rsidRPr="003F1686">
        <w:t>, YouTube, 19 Dec. 2014, www.youtube.com/watch?v=3SqmTqtpxNs.</w:t>
      </w:r>
    </w:p>
    <w:p w:rsidR="007B3321" w:rsidRDefault="007B3321" w:rsidP="007B3321">
      <w:pPr>
        <w:ind w:left="720" w:hanging="720"/>
      </w:pPr>
    </w:p>
    <w:p w:rsidR="007B3321" w:rsidRDefault="007B3321" w:rsidP="007B3321">
      <w:pPr>
        <w:ind w:left="720" w:hanging="720"/>
      </w:pPr>
      <w:r w:rsidRPr="00CB76A3">
        <w:t>Mayes, Janis, and P. Searle. "Veronique Tadjo." African Writing Online. http://www.african-writing.com/four/veroniquetadjointerview.htm.</w:t>
      </w:r>
    </w:p>
    <w:p w:rsidR="00C04A12" w:rsidRDefault="00C04A12" w:rsidP="00B13D81"/>
    <w:p w:rsidR="00B13D81" w:rsidRDefault="00B13D81" w:rsidP="00B13D81">
      <w:pPr>
        <w:ind w:left="720" w:hanging="720"/>
      </w:pPr>
      <w:r w:rsidRPr="00593356">
        <w:t>Mazama, Ama. "The Afrocentric Paradigm: Contours and Definitions." </w:t>
      </w:r>
      <w:r w:rsidRPr="00593356">
        <w:rPr>
          <w:i/>
          <w:iCs/>
        </w:rPr>
        <w:t>Journal of Black Studies</w:t>
      </w:r>
      <w:r w:rsidRPr="00593356">
        <w:t> 31, no. 4 (2001): 387-405. http://www.jstor.org/stable/2668022.</w:t>
      </w:r>
    </w:p>
    <w:p w:rsidR="00B13D81" w:rsidRDefault="00B13D81" w:rsidP="00B13D81"/>
    <w:p w:rsidR="00B13D81" w:rsidRDefault="00B13D81" w:rsidP="00B13D81">
      <w:pPr>
        <w:ind w:left="720" w:hanging="720"/>
      </w:pPr>
      <w:r w:rsidRPr="003D6E22">
        <w:t>Mitchell, Matthew I. "Insights from the Cocoa Regions in Côte D'Ivoire and Ghana: Rethinking the Migration-Conflict Nexus." </w:t>
      </w:r>
      <w:r w:rsidRPr="003D6E22">
        <w:rPr>
          <w:i/>
          <w:iCs/>
        </w:rPr>
        <w:t>African Studies Review</w:t>
      </w:r>
      <w:r w:rsidRPr="003D6E22">
        <w:t> 54, no. 2 (2011): 123-44. http://www.jstor.org/stable/41304778.</w:t>
      </w:r>
    </w:p>
    <w:p w:rsidR="00B13D81" w:rsidRDefault="00B13D81" w:rsidP="00B13D81"/>
    <w:p w:rsidR="00B13D81" w:rsidRDefault="00B13D81" w:rsidP="00B13D81">
      <w:pPr>
        <w:ind w:left="720" w:hanging="720"/>
      </w:pPr>
      <w:r w:rsidRPr="00463619">
        <w:t>Mudimbe-Boyi, Elisabeth. "Breaking Silence and Borders: Women Writers From Francophone and Anglophone Africa and the Caribbean." </w:t>
      </w:r>
      <w:r w:rsidRPr="00463619">
        <w:rPr>
          <w:i/>
          <w:iCs/>
        </w:rPr>
        <w:t>Callaloo</w:t>
      </w:r>
      <w:r w:rsidRPr="00463619">
        <w:t> 16, no. 1 (1993): 75-76. doi:10.2307/2931817.</w:t>
      </w:r>
    </w:p>
    <w:p w:rsidR="007B3321" w:rsidRDefault="007B3321" w:rsidP="007B3321">
      <w:pPr>
        <w:ind w:left="720" w:hanging="720"/>
      </w:pPr>
    </w:p>
    <w:p w:rsidR="007B3321" w:rsidRPr="006F0E96" w:rsidRDefault="007B3321" w:rsidP="007B3321">
      <w:pPr>
        <w:ind w:left="720" w:hanging="720"/>
      </w:pPr>
      <w:r>
        <w:t xml:space="preserve">Tadjo, </w:t>
      </w:r>
      <w:r w:rsidRPr="006F0E96">
        <w:t>Véronique. </w:t>
      </w:r>
      <w:r w:rsidRPr="006F0E96">
        <w:rPr>
          <w:i/>
          <w:iCs/>
        </w:rPr>
        <w:t>The shadow of Imana: travels in the heart of Rwanda</w:t>
      </w:r>
      <w:r>
        <w:t xml:space="preserve">. Waveland </w:t>
      </w:r>
      <w:r w:rsidRPr="006F0E96">
        <w:t>Press, 2015.</w:t>
      </w:r>
    </w:p>
    <w:p w:rsidR="007B3321" w:rsidRDefault="007B3321" w:rsidP="007B3321"/>
    <w:p w:rsidR="007B3321" w:rsidRDefault="007B3321" w:rsidP="007B3321">
      <w:pPr>
        <w:ind w:left="720" w:hanging="720"/>
      </w:pPr>
      <w:r w:rsidRPr="00B165A3">
        <w:t>Tadjo, Véronique, and Amy Baram Reid. </w:t>
      </w:r>
      <w:r w:rsidRPr="00B165A3">
        <w:rPr>
          <w:i/>
          <w:iCs/>
        </w:rPr>
        <w:t>Far from my father</w:t>
      </w:r>
      <w:r w:rsidRPr="00B165A3">
        <w:t>. University of Virginia Press, 2014.</w:t>
      </w:r>
      <w:r>
        <w:t xml:space="preserve"> 11</w:t>
      </w:r>
    </w:p>
    <w:p w:rsidR="007B3321" w:rsidRDefault="007B3321" w:rsidP="007B3321"/>
    <w:p w:rsidR="007B3321" w:rsidRPr="002C70E5" w:rsidRDefault="007B3321" w:rsidP="007B3321">
      <w:pPr>
        <w:ind w:left="720" w:hanging="720"/>
        <w:rPr>
          <w:lang w:val="fr-FR"/>
        </w:rPr>
      </w:pPr>
      <w:r w:rsidRPr="00CF6CD1">
        <w:t>Tadjo, Véronique, and Gisela Greatorex. </w:t>
      </w:r>
      <w:r w:rsidRPr="00CF6CD1">
        <w:rPr>
          <w:i/>
          <w:iCs/>
        </w:rPr>
        <w:t>Mama Wata und das monster = Mamy Wata and the monster</w:t>
      </w:r>
      <w:r w:rsidRPr="00CF6CD1">
        <w:t xml:space="preserve">. </w:t>
      </w:r>
      <w:r w:rsidRPr="002C70E5">
        <w:rPr>
          <w:lang w:val="fr-FR"/>
        </w:rPr>
        <w:t>London: Milet, 2000.</w:t>
      </w:r>
    </w:p>
    <w:p w:rsidR="007B3321" w:rsidRPr="002C70E5" w:rsidRDefault="007B3321" w:rsidP="007B3321">
      <w:pPr>
        <w:ind w:left="720" w:hanging="720"/>
        <w:rPr>
          <w:lang w:val="fr-FR"/>
        </w:rPr>
      </w:pPr>
    </w:p>
    <w:p w:rsidR="007B3321" w:rsidRPr="002C70E5" w:rsidRDefault="007B3321" w:rsidP="007B3321">
      <w:pPr>
        <w:ind w:left="720" w:hanging="720"/>
        <w:rPr>
          <w:lang w:val="fr-FR"/>
        </w:rPr>
      </w:pPr>
      <w:r w:rsidRPr="002C70E5">
        <w:rPr>
          <w:lang w:val="fr-FR"/>
        </w:rPr>
        <w:t>Tadjo, Véronique. “Biography.” </w:t>
      </w:r>
      <w:r w:rsidRPr="002C70E5">
        <w:rPr>
          <w:i/>
          <w:iCs/>
          <w:lang w:val="fr-FR"/>
        </w:rPr>
        <w:t>Véronique Tadjo</w:t>
      </w:r>
      <w:r w:rsidRPr="002C70E5">
        <w:rPr>
          <w:lang w:val="fr-FR"/>
        </w:rPr>
        <w:t>, 2013, veroniquetadjo.com/?page_id=21.</w:t>
      </w:r>
    </w:p>
    <w:p w:rsidR="00B13D81" w:rsidRPr="002C70E5" w:rsidRDefault="00B13D81" w:rsidP="00B13D81">
      <w:pPr>
        <w:rPr>
          <w:lang w:val="fr-FR"/>
        </w:rPr>
      </w:pPr>
    </w:p>
    <w:p w:rsidR="00B13D81" w:rsidRDefault="00B13D81" w:rsidP="00B13D81">
      <w:pPr>
        <w:ind w:left="720" w:hanging="720"/>
      </w:pPr>
      <w:r w:rsidRPr="00C62E7C">
        <w:t>van Stipriaan, Alex (2005). "Watramama/</w:t>
      </w:r>
      <w:r>
        <w:t>Mami</w:t>
      </w:r>
      <w:r w:rsidRPr="00C62E7C">
        <w:t xml:space="preserve"> Wata: Three centuries of creolization of a water spirit in West Africa, Suriname and Europe". </w:t>
      </w:r>
      <w:r w:rsidRPr="00C62E7C">
        <w:rPr>
          <w:i/>
          <w:iCs/>
        </w:rPr>
        <w:t>Matatu: Journal for African Culture and Society</w:t>
      </w:r>
      <w:r w:rsidRPr="00C62E7C">
        <w:t>, 27/28, 323-3</w:t>
      </w:r>
    </w:p>
    <w:p w:rsidR="00B13D81" w:rsidRDefault="00B13D81" w:rsidP="007B3321"/>
    <w:p w:rsidR="00B13D81" w:rsidRDefault="00B13D81" w:rsidP="00B13D81">
      <w:pPr>
        <w:ind w:left="720" w:hanging="720"/>
      </w:pPr>
    </w:p>
    <w:p w:rsidR="00B13D81" w:rsidRDefault="00B13D81" w:rsidP="00B13D81">
      <w:pPr>
        <w:ind w:left="720" w:hanging="720"/>
      </w:pPr>
    </w:p>
    <w:p w:rsidR="00B13D81" w:rsidRDefault="00B13D81" w:rsidP="00B13D81">
      <w:pPr>
        <w:ind w:left="720" w:hanging="720"/>
      </w:pPr>
    </w:p>
    <w:p w:rsidR="007259B6" w:rsidRDefault="007259B6"/>
    <w:sectPr w:rsidR="007259B6" w:rsidSect="007B3321">
      <w:headerReference w:type="even" r:id="rId10"/>
      <w:headerReference w:type="default" r:id="rId11"/>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DA7" w:rsidRDefault="00FD3DA7" w:rsidP="00B13D81">
      <w:r>
        <w:separator/>
      </w:r>
    </w:p>
  </w:endnote>
  <w:endnote w:type="continuationSeparator" w:id="0">
    <w:p w:rsidR="00FD3DA7" w:rsidRDefault="00FD3DA7" w:rsidP="00B13D81">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039" w:rsidRDefault="00A11C2C" w:rsidP="00C04A12">
    <w:pPr>
      <w:pStyle w:val="Footer"/>
      <w:framePr w:wrap="around" w:vAnchor="text" w:hAnchor="margin" w:xAlign="right" w:y="1"/>
      <w:rPr>
        <w:rStyle w:val="PageNumber"/>
      </w:rPr>
    </w:pPr>
    <w:r>
      <w:rPr>
        <w:rStyle w:val="PageNumber"/>
      </w:rPr>
      <w:fldChar w:fldCharType="begin"/>
    </w:r>
    <w:r w:rsidR="005F2039">
      <w:rPr>
        <w:rStyle w:val="PageNumber"/>
      </w:rPr>
      <w:instrText xml:space="preserve">PAGE  </w:instrText>
    </w:r>
    <w:r>
      <w:rPr>
        <w:rStyle w:val="PageNumber"/>
      </w:rPr>
      <w:fldChar w:fldCharType="end"/>
    </w:r>
  </w:p>
  <w:p w:rsidR="005F2039" w:rsidRDefault="005F2039" w:rsidP="00C04A1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039" w:rsidRDefault="005F2039" w:rsidP="00C04A1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DA7" w:rsidRDefault="00FD3DA7" w:rsidP="00B13D81">
      <w:r>
        <w:separator/>
      </w:r>
    </w:p>
  </w:footnote>
  <w:footnote w:type="continuationSeparator" w:id="0">
    <w:p w:rsidR="00FD3DA7" w:rsidRDefault="00FD3DA7" w:rsidP="00B13D81">
      <w:r>
        <w:continuationSeparator/>
      </w:r>
    </w:p>
  </w:footnote>
  <w:footnote w:id="1">
    <w:p w:rsidR="005F2039" w:rsidRDefault="005F2039" w:rsidP="00B13D81">
      <w:pPr>
        <w:ind w:left="720" w:hanging="720"/>
      </w:pPr>
      <w:r>
        <w:rPr>
          <w:rStyle w:val="FootnoteReference"/>
        </w:rPr>
        <w:footnoteRef/>
      </w:r>
      <w:r>
        <w:t xml:space="preserve"> </w:t>
      </w:r>
      <w:r w:rsidRPr="00CB76A3">
        <w:t>Mayes, Janis, and P. Searle. "Veronique Tadjo." African Writing Online. http://www.african-writing.com/four/veroniquetadjointerview.htm.</w:t>
      </w:r>
    </w:p>
    <w:p w:rsidR="005F2039" w:rsidRDefault="005F2039" w:rsidP="00B13D81">
      <w:pPr>
        <w:pStyle w:val="FootnoteText"/>
      </w:pPr>
    </w:p>
  </w:footnote>
  <w:footnote w:id="2">
    <w:p w:rsidR="005F2039" w:rsidRDefault="005F2039" w:rsidP="005171B6">
      <w:r>
        <w:rPr>
          <w:rStyle w:val="FootnoteReference"/>
        </w:rPr>
        <w:footnoteRef/>
      </w:r>
      <w:r>
        <w:t xml:space="preserve"> </w:t>
      </w:r>
      <w:r w:rsidRPr="006F0E96">
        <w:t>Véronique</w:t>
      </w:r>
      <w:r>
        <w:t xml:space="preserve"> Tadjo</w:t>
      </w:r>
      <w:r w:rsidRPr="006F0E96">
        <w:t>. </w:t>
      </w:r>
      <w:r w:rsidRPr="006F0E96">
        <w:rPr>
          <w:i/>
          <w:iCs/>
        </w:rPr>
        <w:t>The shadow of Imana: travels in the heart of Rwanda</w:t>
      </w:r>
      <w:r>
        <w:t xml:space="preserve">. Waveland </w:t>
      </w:r>
      <w:r w:rsidRPr="006F0E96">
        <w:t>Press, 2015.</w:t>
      </w:r>
      <w:r>
        <w:t xml:space="preserve"> 11</w:t>
      </w:r>
    </w:p>
  </w:footnote>
  <w:footnote w:id="3">
    <w:p w:rsidR="005F2039" w:rsidRDefault="005F2039" w:rsidP="00B13D81">
      <w:pPr>
        <w:pStyle w:val="FootnoteText"/>
      </w:pPr>
      <w:r>
        <w:rPr>
          <w:rStyle w:val="FootnoteReference"/>
        </w:rPr>
        <w:footnoteRef/>
      </w:r>
      <w:r>
        <w:t xml:space="preserve"> </w:t>
      </w:r>
      <w:r w:rsidRPr="003F1686">
        <w:t>LibraryOfCongress. “Véronique Tadjo.” </w:t>
      </w:r>
      <w:r w:rsidRPr="003F1686">
        <w:rPr>
          <w:i/>
          <w:iCs/>
        </w:rPr>
        <w:t>YouTube</w:t>
      </w:r>
      <w:r w:rsidRPr="003F1686">
        <w:t>, YouTube, 19 Dec. 2014, www.y</w:t>
      </w:r>
      <w:r>
        <w:t>outube.com/watch?v=3SqmTqtpxNs.</w:t>
      </w:r>
    </w:p>
  </w:footnote>
  <w:footnote w:id="4">
    <w:p w:rsidR="005F2039" w:rsidRPr="002C70E5" w:rsidRDefault="005F2039">
      <w:pPr>
        <w:pStyle w:val="FootnoteText"/>
        <w:rPr>
          <w:lang w:val="fr-FR"/>
        </w:rPr>
      </w:pPr>
      <w:r>
        <w:rPr>
          <w:rStyle w:val="FootnoteReference"/>
        </w:rPr>
        <w:footnoteRef/>
      </w:r>
      <w:r w:rsidRPr="002C70E5">
        <w:rPr>
          <w:lang w:val="fr-FR"/>
        </w:rPr>
        <w:t xml:space="preserve"> Tadjo, Véronique. “Biography.” </w:t>
      </w:r>
      <w:r w:rsidRPr="002C70E5">
        <w:rPr>
          <w:i/>
          <w:iCs/>
          <w:lang w:val="fr-FR"/>
        </w:rPr>
        <w:t>Véronique Tadjo</w:t>
      </w:r>
      <w:r w:rsidRPr="002C70E5">
        <w:rPr>
          <w:lang w:val="fr-FR"/>
        </w:rPr>
        <w:t>, 2013, veroniquetadjo.com/?page_id=21.</w:t>
      </w:r>
    </w:p>
  </w:footnote>
  <w:footnote w:id="5">
    <w:p w:rsidR="005F2039" w:rsidRDefault="005F2039" w:rsidP="00B13D81">
      <w:pPr>
        <w:pStyle w:val="FootnoteText"/>
      </w:pPr>
      <w:r>
        <w:rPr>
          <w:rStyle w:val="FootnoteReference"/>
        </w:rPr>
        <w:footnoteRef/>
      </w:r>
      <w:r>
        <w:t xml:space="preserve"> </w:t>
      </w:r>
      <w:r w:rsidRPr="00581D0A">
        <w:t>LibraryOfCongress. “Véronique Tadjo.” </w:t>
      </w:r>
      <w:r w:rsidRPr="00581D0A">
        <w:rPr>
          <w:i/>
          <w:iCs/>
        </w:rPr>
        <w:t>YouTube</w:t>
      </w:r>
      <w:r w:rsidRPr="00581D0A">
        <w:t xml:space="preserve">, YouTube, 19 Dec. 2014, </w:t>
      </w:r>
      <w:r w:rsidRPr="005D47BB">
        <w:t>www.youtube.com/watch?v=3SqmTqtpxNs</w:t>
      </w:r>
      <w:r w:rsidRPr="00581D0A">
        <w:t>.</w:t>
      </w:r>
    </w:p>
  </w:footnote>
  <w:footnote w:id="6">
    <w:p w:rsidR="005F2039" w:rsidRPr="002C70E5" w:rsidRDefault="005F2039" w:rsidP="00B13D81">
      <w:pPr>
        <w:pStyle w:val="FootnoteText"/>
        <w:rPr>
          <w:lang w:val="fr-FR"/>
        </w:rPr>
      </w:pPr>
      <w:r>
        <w:rPr>
          <w:rStyle w:val="FootnoteReference"/>
        </w:rPr>
        <w:footnoteRef/>
      </w:r>
      <w:r w:rsidRPr="002C70E5">
        <w:rPr>
          <w:lang w:val="fr-FR"/>
        </w:rPr>
        <w:t xml:space="preserve"> Tadjo, Véronique. “Biography.” </w:t>
      </w:r>
      <w:r w:rsidRPr="002C70E5">
        <w:rPr>
          <w:i/>
          <w:iCs/>
          <w:lang w:val="fr-FR"/>
        </w:rPr>
        <w:t>Véronique Tadjo</w:t>
      </w:r>
      <w:r w:rsidRPr="002C70E5">
        <w:rPr>
          <w:lang w:val="fr-FR"/>
        </w:rPr>
        <w:t>, 2013, veroniquetadjo.com/?page_id=21.</w:t>
      </w:r>
    </w:p>
  </w:footnote>
  <w:footnote w:id="7">
    <w:p w:rsidR="005F2039" w:rsidRDefault="005F2039" w:rsidP="00B13D81">
      <w:pPr>
        <w:pStyle w:val="FootnoteText"/>
      </w:pPr>
      <w:r>
        <w:rPr>
          <w:rStyle w:val="FootnoteReference"/>
        </w:rPr>
        <w:footnoteRef/>
      </w:r>
      <w:r>
        <w:t xml:space="preserve"> </w:t>
      </w:r>
      <w:r w:rsidRPr="003B4C2D">
        <w:t>Dickovick, J. Tyler. </w:t>
      </w:r>
      <w:r w:rsidRPr="003B4C2D">
        <w:rPr>
          <w:i/>
          <w:iCs/>
        </w:rPr>
        <w:t>Africa</w:t>
      </w:r>
      <w:r w:rsidRPr="003B4C2D">
        <w:t>. Landam, MD: Stryker-Post publications, 2014.</w:t>
      </w:r>
    </w:p>
  </w:footnote>
  <w:footnote w:id="8">
    <w:p w:rsidR="005F2039" w:rsidRDefault="005F2039" w:rsidP="00B13D81">
      <w:pPr>
        <w:pStyle w:val="FootnoteText"/>
      </w:pPr>
      <w:r>
        <w:rPr>
          <w:rStyle w:val="FootnoteReference"/>
        </w:rPr>
        <w:footnoteRef/>
      </w:r>
      <w:r>
        <w:t xml:space="preserve"> Map of Africa and Côte d’Ivoire. </w:t>
      </w:r>
      <w:r w:rsidRPr="00884334">
        <w:t>"Cote D'Ivoire." World Atlas - Maps, Geography, travel. April 07, 2017. Accessed November 19, 2017. http://www.worldatlas.com/w</w:t>
      </w:r>
      <w:r>
        <w:t>ebimage/countrys/africa/ci.htm.</w:t>
      </w:r>
    </w:p>
  </w:footnote>
  <w:footnote w:id="9">
    <w:p w:rsidR="005F2039" w:rsidRPr="00C04A12" w:rsidRDefault="005F2039" w:rsidP="00C04A12">
      <w:pPr>
        <w:pStyle w:val="FootnoteText"/>
      </w:pPr>
      <w:r>
        <w:rPr>
          <w:rStyle w:val="FootnoteReference"/>
        </w:rPr>
        <w:footnoteRef/>
      </w:r>
      <w:r>
        <w:t xml:space="preserve"> </w:t>
      </w:r>
      <w:r w:rsidRPr="00C04A12">
        <w:t>Läderach, P., A. Martinez-Valle, G. Schroth, and N. Castro. 2013. "Predicting the future climatic suitability for cocoa farming of the world's leading producer countries, Ghana and Côte d'Ivoire." </w:t>
      </w:r>
      <w:r w:rsidRPr="00C04A12">
        <w:rPr>
          <w:i/>
          <w:iCs/>
        </w:rPr>
        <w:t>Climatic Change</w:t>
      </w:r>
      <w:r w:rsidRPr="00C04A12">
        <w:t> 119, no. 3/4: 841-854. </w:t>
      </w:r>
      <w:r w:rsidRPr="00C04A12">
        <w:rPr>
          <w:i/>
          <w:iCs/>
        </w:rPr>
        <w:t>Academic Search Complete</w:t>
      </w:r>
      <w:r w:rsidRPr="00C04A12">
        <w:t>, EBSCO</w:t>
      </w:r>
      <w:r w:rsidRPr="00C04A12">
        <w:rPr>
          <w:i/>
          <w:iCs/>
        </w:rPr>
        <w:t>host</w:t>
      </w:r>
      <w:r w:rsidRPr="00C04A12">
        <w:t> (accessed December 13, 2017).</w:t>
      </w:r>
    </w:p>
    <w:p w:rsidR="005F2039" w:rsidRDefault="005F2039">
      <w:pPr>
        <w:pStyle w:val="FootnoteText"/>
      </w:pPr>
    </w:p>
  </w:footnote>
  <w:footnote w:id="10">
    <w:p w:rsidR="005F2039" w:rsidRPr="003D6E22" w:rsidRDefault="005F2039" w:rsidP="00B13D81">
      <w:pPr>
        <w:pStyle w:val="FootnoteText"/>
      </w:pPr>
      <w:r>
        <w:rPr>
          <w:rStyle w:val="FootnoteReference"/>
        </w:rPr>
        <w:footnoteRef/>
      </w:r>
      <w:r>
        <w:t xml:space="preserve"> </w:t>
      </w:r>
      <w:r w:rsidRPr="003D6E22">
        <w:t>Mitchell, Matthew I. "Insights from the Cocoa Regions in Côte D'Ivoire and Ghana: Rethinking the Migration-Conflict Nexus." </w:t>
      </w:r>
      <w:r w:rsidRPr="003D6E22">
        <w:rPr>
          <w:i/>
          <w:iCs/>
        </w:rPr>
        <w:t>African Studies Review</w:t>
      </w:r>
      <w:r w:rsidRPr="003D6E22">
        <w:t> 54, no. 2 (2011): 123-44. http://www.jstor.org/stable/41304778.</w:t>
      </w:r>
    </w:p>
    <w:p w:rsidR="005F2039" w:rsidRDefault="005F2039" w:rsidP="00B13D81">
      <w:pPr>
        <w:pStyle w:val="FootnoteText"/>
      </w:pPr>
    </w:p>
  </w:footnote>
  <w:footnote w:id="11">
    <w:p w:rsidR="005F2039" w:rsidRDefault="005F2039" w:rsidP="00B13D81">
      <w:pPr>
        <w:pStyle w:val="FootnoteText"/>
      </w:pPr>
      <w:r>
        <w:rPr>
          <w:rStyle w:val="FootnoteReference"/>
        </w:rPr>
        <w:footnoteRef/>
      </w:r>
      <w:r>
        <w:t xml:space="preserve"> </w:t>
      </w:r>
      <w:r w:rsidRPr="003B4C2D">
        <w:t>Dickovick, J. Tyler. </w:t>
      </w:r>
      <w:r w:rsidRPr="003B4C2D">
        <w:rPr>
          <w:i/>
          <w:iCs/>
        </w:rPr>
        <w:t>Africa</w:t>
      </w:r>
      <w:r w:rsidRPr="003B4C2D">
        <w:t>. Landam, MD: Stryker-Post publications, 2014.</w:t>
      </w:r>
    </w:p>
  </w:footnote>
  <w:footnote w:id="12">
    <w:p w:rsidR="005F2039" w:rsidRPr="002479DC" w:rsidRDefault="005F2039" w:rsidP="00B13D81">
      <w:pPr>
        <w:pStyle w:val="FootnoteText"/>
      </w:pPr>
      <w:r>
        <w:rPr>
          <w:rStyle w:val="FootnoteReference"/>
        </w:rPr>
        <w:footnoteRef/>
      </w:r>
      <w:r>
        <w:t xml:space="preserve"> </w:t>
      </w:r>
      <w:r>
        <w:rPr>
          <w:i/>
        </w:rPr>
        <w:t>Id</w:t>
      </w:r>
      <w:r>
        <w:t>.</w:t>
      </w:r>
    </w:p>
  </w:footnote>
  <w:footnote w:id="13">
    <w:p w:rsidR="005F2039" w:rsidRDefault="005F2039" w:rsidP="00B13D81">
      <w:pPr>
        <w:pStyle w:val="FootnoteText"/>
      </w:pPr>
      <w:r>
        <w:rPr>
          <w:rStyle w:val="FootnoteReference"/>
        </w:rPr>
        <w:footnoteRef/>
      </w:r>
      <w:r>
        <w:t xml:space="preserve"> </w:t>
      </w:r>
      <w:r w:rsidRPr="003F1686">
        <w:t>LibraryOfCongress. “Véronique Tadjo.” </w:t>
      </w:r>
      <w:r w:rsidRPr="003F1686">
        <w:rPr>
          <w:i/>
          <w:iCs/>
        </w:rPr>
        <w:t>YouTube</w:t>
      </w:r>
      <w:r w:rsidRPr="003F1686">
        <w:t>, YouTube, 19 Dec. 2014, www.youtube.com/watch?v=3SqmTqtpxNs.</w:t>
      </w:r>
    </w:p>
  </w:footnote>
  <w:footnote w:id="14">
    <w:p w:rsidR="005F2039" w:rsidRDefault="005F2039" w:rsidP="0087436D">
      <w:pPr>
        <w:pStyle w:val="FootnoteText"/>
      </w:pPr>
      <w:r>
        <w:rPr>
          <w:rStyle w:val="FootnoteReference"/>
        </w:rPr>
        <w:footnoteRef/>
      </w:r>
      <w:r>
        <w:t xml:space="preserve"> </w:t>
      </w:r>
      <w:r w:rsidRPr="00B165A3">
        <w:t>Tadjo, Véronique, and Amy Baram Reid. </w:t>
      </w:r>
      <w:r w:rsidRPr="00B165A3">
        <w:rPr>
          <w:i/>
          <w:iCs/>
        </w:rPr>
        <w:t>Far from my father</w:t>
      </w:r>
      <w:r w:rsidRPr="00B165A3">
        <w:t>. University of Virginia Press, 2014.</w:t>
      </w:r>
      <w:r>
        <w:t xml:space="preserve"> 11</w:t>
      </w:r>
    </w:p>
  </w:footnote>
  <w:footnote w:id="15">
    <w:p w:rsidR="005F2039" w:rsidRDefault="005F2039" w:rsidP="0087436D">
      <w:pPr>
        <w:pStyle w:val="FootnoteText"/>
      </w:pPr>
      <w:r>
        <w:rPr>
          <w:rStyle w:val="FootnoteReference"/>
        </w:rPr>
        <w:footnoteRef/>
      </w:r>
      <w:r>
        <w:t xml:space="preserve"> </w:t>
      </w:r>
      <w:r w:rsidRPr="00B165A3">
        <w:t>Tadjo, Véronique, and Amy Baram Reid. </w:t>
      </w:r>
      <w:r w:rsidRPr="00B165A3">
        <w:rPr>
          <w:i/>
          <w:iCs/>
        </w:rPr>
        <w:t>Far from my father</w:t>
      </w:r>
      <w:r w:rsidRPr="00B165A3">
        <w:t>. University of Virginia Press, 2014.</w:t>
      </w:r>
      <w:r>
        <w:t xml:space="preserve"> 45</w:t>
      </w:r>
    </w:p>
  </w:footnote>
  <w:footnote w:id="16">
    <w:p w:rsidR="005F2039" w:rsidRDefault="005F2039" w:rsidP="0087436D">
      <w:pPr>
        <w:pStyle w:val="FootnoteText"/>
      </w:pPr>
      <w:r>
        <w:rPr>
          <w:rStyle w:val="FootnoteReference"/>
        </w:rPr>
        <w:footnoteRef/>
      </w:r>
      <w:r>
        <w:t xml:space="preserve"> </w:t>
      </w:r>
      <w:r w:rsidRPr="00CC05A0">
        <w:t>LibraryOfCongress. “Véronique Tadjo.” </w:t>
      </w:r>
      <w:r w:rsidRPr="00CC05A0">
        <w:rPr>
          <w:i/>
          <w:iCs/>
        </w:rPr>
        <w:t>YouTube</w:t>
      </w:r>
      <w:r w:rsidRPr="00CC05A0">
        <w:t>, YouTube, 19 Dec. 2014, www.y</w:t>
      </w:r>
      <w:r>
        <w:t>outube.com/watch?v=3SqmTqtpxNs.</w:t>
      </w:r>
    </w:p>
  </w:footnote>
  <w:footnote w:id="17">
    <w:p w:rsidR="005F2039" w:rsidRPr="00BF025C" w:rsidRDefault="005F2039" w:rsidP="00B13D81">
      <w:pPr>
        <w:pStyle w:val="FootnoteText"/>
      </w:pPr>
      <w:r>
        <w:rPr>
          <w:rStyle w:val="FootnoteReference"/>
        </w:rPr>
        <w:footnoteRef/>
      </w:r>
      <w:r>
        <w:t xml:space="preserve"> </w:t>
      </w:r>
      <w:r w:rsidRPr="00560B56">
        <w:t>"Africa: Anglophone vs Francophone in the African Union." AllAfrica. December 01, 2015. Accessed November 19, 2017. http://allafrica.com/stories/201511302599.html.</w:t>
      </w:r>
    </w:p>
  </w:footnote>
  <w:footnote w:id="18">
    <w:p w:rsidR="005F2039" w:rsidRDefault="005F2039" w:rsidP="00B13D81">
      <w:pPr>
        <w:pStyle w:val="FootnoteText"/>
      </w:pPr>
      <w:r>
        <w:rPr>
          <w:rStyle w:val="FootnoteReference"/>
        </w:rPr>
        <w:footnoteRef/>
      </w:r>
      <w:r>
        <w:t xml:space="preserve"> </w:t>
      </w:r>
      <w:r w:rsidRPr="00BF025C">
        <w:t>Fokwang, Jude. </w:t>
      </w:r>
      <w:r w:rsidRPr="00BF025C">
        <w:rPr>
          <w:i/>
          <w:iCs/>
        </w:rPr>
        <w:t>Canadian Journal of African Studies / Revue Canadienne Des Études Africaines</w:t>
      </w:r>
      <w:r w:rsidRPr="00BF025C">
        <w:t> 38, no. 2 (2004</w:t>
      </w:r>
      <w:r>
        <w:t>): 467-69. doi:10.2307/4107321.</w:t>
      </w:r>
    </w:p>
  </w:footnote>
  <w:footnote w:id="19">
    <w:p w:rsidR="005F2039" w:rsidRDefault="005F2039" w:rsidP="00B13D81">
      <w:r>
        <w:rPr>
          <w:rStyle w:val="FootnoteReference"/>
        </w:rPr>
        <w:footnoteRef/>
      </w:r>
      <w:r>
        <w:t xml:space="preserve"> </w:t>
      </w:r>
      <w:r w:rsidRPr="00463619">
        <w:t>Mudimbe-Boyi, Elisabeth. "Breaking Silence and Borders: Women Writers From Francophone and Anglophone Africa and the Caribbean." </w:t>
      </w:r>
      <w:r w:rsidRPr="00463619">
        <w:rPr>
          <w:i/>
          <w:iCs/>
        </w:rPr>
        <w:t>Callaloo</w:t>
      </w:r>
      <w:r w:rsidRPr="00463619">
        <w:t> 16, no. 1 (1993): 75-76. doi:10.2307/2931817.</w:t>
      </w:r>
    </w:p>
  </w:footnote>
  <w:footnote w:id="20">
    <w:p w:rsidR="00E51451" w:rsidRDefault="00E51451" w:rsidP="00E51451">
      <w:r>
        <w:rPr>
          <w:rStyle w:val="FootnoteReference"/>
        </w:rPr>
        <w:footnoteRef/>
      </w:r>
      <w:r>
        <w:t xml:space="preserve"> </w:t>
      </w:r>
      <w:r w:rsidRPr="005730B2">
        <w:t>Gray, Stephen. 2003. "Véronique Tadjo Speaks with Stephen Gray." </w:t>
      </w:r>
      <w:r w:rsidRPr="005730B2">
        <w:rPr>
          <w:i/>
          <w:iCs/>
        </w:rPr>
        <w:t>Research In African Literatures</w:t>
      </w:r>
      <w:r w:rsidRPr="005730B2">
        <w:t> 34, no. 3: 142. </w:t>
      </w:r>
      <w:r w:rsidRPr="005730B2">
        <w:rPr>
          <w:i/>
          <w:iCs/>
        </w:rPr>
        <w:t>Academic Search Complete</w:t>
      </w:r>
      <w:r w:rsidRPr="005730B2">
        <w:t>, EBSCO</w:t>
      </w:r>
      <w:r w:rsidRPr="005730B2">
        <w:rPr>
          <w:i/>
          <w:iCs/>
        </w:rPr>
        <w:t>host</w:t>
      </w:r>
      <w:r w:rsidRPr="005730B2">
        <w:t> (accessed November 20, 2017).</w:t>
      </w:r>
    </w:p>
  </w:footnote>
  <w:footnote w:id="21">
    <w:p w:rsidR="0010598D" w:rsidRDefault="0010598D" w:rsidP="0010598D">
      <w:pPr>
        <w:pStyle w:val="FootnoteText"/>
      </w:pPr>
      <w:r>
        <w:rPr>
          <w:rStyle w:val="FootnoteReference"/>
        </w:rPr>
        <w:footnoteRef/>
      </w:r>
      <w:r>
        <w:t xml:space="preserve"> </w:t>
      </w:r>
      <w:r w:rsidRPr="006705F9">
        <w:t>Garane, Jeanne. "Véronique Tadjo." </w:t>
      </w:r>
      <w:r w:rsidRPr="006705F9">
        <w:rPr>
          <w:i/>
          <w:iCs/>
        </w:rPr>
        <w:t>Contemporary African Writers</w:t>
      </w:r>
      <w:r w:rsidRPr="006705F9">
        <w:t>, Tanure (ed. and introd.) Ojaide, Gale, 2011, pp. 260-267. Dictionary of Literary Biography (DLB): 360. EBSCO</w:t>
      </w:r>
      <w:r w:rsidRPr="006705F9">
        <w:rPr>
          <w:i/>
          <w:iCs/>
        </w:rPr>
        <w:t>host</w:t>
      </w:r>
      <w:r w:rsidRPr="006705F9">
        <w:t>, ezproxy.prin.edu:2048/login?url=http://search.ebscohost.com/login.aspx?direct=true&amp;db=mzh</w:t>
      </w:r>
      <w:r>
        <w:t>&amp;AN=2011650743&amp;site=ehost-live.</w:t>
      </w:r>
    </w:p>
  </w:footnote>
  <w:footnote w:id="22">
    <w:p w:rsidR="005F2039" w:rsidRDefault="005F2039" w:rsidP="00752DA3">
      <w:pPr>
        <w:pStyle w:val="FootnoteText"/>
      </w:pPr>
      <w:r>
        <w:rPr>
          <w:rStyle w:val="FootnoteReference"/>
        </w:rPr>
        <w:footnoteRef/>
      </w:r>
      <w:r>
        <w:t xml:space="preserve"> </w:t>
      </w:r>
      <w:r>
        <w:rPr>
          <w:i/>
        </w:rPr>
        <w:t>Id</w:t>
      </w:r>
    </w:p>
  </w:footnote>
  <w:footnote w:id="23">
    <w:p w:rsidR="005F2039" w:rsidRDefault="005F2039" w:rsidP="00742992">
      <w:pPr>
        <w:pStyle w:val="FootnoteText"/>
      </w:pPr>
      <w:r>
        <w:rPr>
          <w:rStyle w:val="FootnoteReference"/>
        </w:rPr>
        <w:footnoteRef/>
      </w:r>
      <w:r>
        <w:t xml:space="preserve"> </w:t>
      </w:r>
      <w:r w:rsidRPr="00CF6CD1">
        <w:t>Tadjo, Véronique. </w:t>
      </w:r>
      <w:r>
        <w:rPr>
          <w:i/>
          <w:iCs/>
        </w:rPr>
        <w:t>The Shadow of Imana: T</w:t>
      </w:r>
      <w:r w:rsidRPr="00CF6CD1">
        <w:rPr>
          <w:i/>
          <w:iCs/>
        </w:rPr>
        <w:t>r</w:t>
      </w:r>
      <w:r>
        <w:rPr>
          <w:i/>
          <w:iCs/>
        </w:rPr>
        <w:t>avels in the H</w:t>
      </w:r>
      <w:r w:rsidRPr="00CF6CD1">
        <w:rPr>
          <w:i/>
          <w:iCs/>
        </w:rPr>
        <w:t>eart of Rwanda</w:t>
      </w:r>
      <w:r w:rsidRPr="00CF6CD1">
        <w:t>. Waveland Press, 2015.</w:t>
      </w:r>
      <w:r>
        <w:t xml:space="preserve"> 11.</w:t>
      </w:r>
    </w:p>
  </w:footnote>
  <w:footnote w:id="24">
    <w:p w:rsidR="005F2039" w:rsidRDefault="005F2039">
      <w:pPr>
        <w:pStyle w:val="FootnoteText"/>
      </w:pPr>
      <w:r>
        <w:rPr>
          <w:rStyle w:val="FootnoteReference"/>
        </w:rPr>
        <w:footnoteRef/>
      </w:r>
      <w:r>
        <w:t xml:space="preserve"> </w:t>
      </w:r>
      <w:r w:rsidRPr="00752DA3">
        <w:t>Asante, Molefi K. </w:t>
      </w:r>
      <w:r w:rsidRPr="00752DA3">
        <w:rPr>
          <w:i/>
          <w:iCs/>
        </w:rPr>
        <w:t>Afrocentricity, the theory of social change</w:t>
      </w:r>
      <w:r w:rsidRPr="00752DA3">
        <w:t>. Chicago, IL</w:t>
      </w:r>
      <w:r>
        <w:t>: African American Images, 2003</w:t>
      </w:r>
    </w:p>
  </w:footnote>
  <w:footnote w:id="25">
    <w:p w:rsidR="005F2039" w:rsidRDefault="005F2039" w:rsidP="00B13D81">
      <w:r>
        <w:rPr>
          <w:rStyle w:val="FootnoteReference"/>
        </w:rPr>
        <w:footnoteRef/>
      </w:r>
      <w:r>
        <w:t xml:space="preserve"> </w:t>
      </w:r>
      <w:r w:rsidRPr="00593356">
        <w:t>Mazama, Ama. "The Afrocentric Paradigm: Contours and Definitions." </w:t>
      </w:r>
      <w:r w:rsidRPr="00593356">
        <w:rPr>
          <w:i/>
          <w:iCs/>
        </w:rPr>
        <w:t>Journal of Black Studies</w:t>
      </w:r>
      <w:r w:rsidRPr="00593356">
        <w:t> 31, no. 4 (2001): 387-405. http://www.jstor.org/stable/2668022.</w:t>
      </w:r>
    </w:p>
  </w:footnote>
  <w:footnote w:id="26">
    <w:p w:rsidR="005F2039" w:rsidRPr="002C70E5" w:rsidRDefault="005F2039" w:rsidP="00716CFE">
      <w:pPr>
        <w:pStyle w:val="FootnoteText"/>
        <w:rPr>
          <w:lang w:val="fr-FR"/>
        </w:rPr>
      </w:pPr>
      <w:r>
        <w:rPr>
          <w:rStyle w:val="FootnoteReference"/>
        </w:rPr>
        <w:footnoteRef/>
      </w:r>
      <w:r w:rsidRPr="002C70E5">
        <w:rPr>
          <w:lang w:val="fr-FR"/>
        </w:rPr>
        <w:t xml:space="preserve"> Tadjo, Véronique. “Biography.” </w:t>
      </w:r>
      <w:r w:rsidRPr="002C70E5">
        <w:rPr>
          <w:i/>
          <w:iCs/>
          <w:lang w:val="fr-FR"/>
        </w:rPr>
        <w:t>Véronique Tadjo</w:t>
      </w:r>
      <w:r w:rsidRPr="002C70E5">
        <w:rPr>
          <w:lang w:val="fr-FR"/>
        </w:rPr>
        <w:t>, 2013, veroniquetadjo.com/?page_id=21.</w:t>
      </w:r>
    </w:p>
  </w:footnote>
  <w:footnote w:id="27">
    <w:p w:rsidR="005F2039" w:rsidRDefault="005F2039" w:rsidP="00716CFE">
      <w:pPr>
        <w:pStyle w:val="FootnoteText"/>
      </w:pPr>
      <w:r>
        <w:rPr>
          <w:rStyle w:val="FootnoteReference"/>
        </w:rPr>
        <w:footnoteRef/>
      </w:r>
      <w:r>
        <w:t xml:space="preserve"> </w:t>
      </w:r>
      <w:r w:rsidRPr="00EF581D">
        <w:t>Garane, Jeanne. "Véronique Tadjo." </w:t>
      </w:r>
      <w:r w:rsidRPr="00EF581D">
        <w:rPr>
          <w:i/>
          <w:iCs/>
        </w:rPr>
        <w:t>Contemporary African Writers</w:t>
      </w:r>
      <w:r w:rsidRPr="00EF581D">
        <w:t>, Tanure (ed. and introd.) Ojaide, Gale, 2011, pp. 260-267. Dictionary of Literary Biography (DLB): 360. EBSCO</w:t>
      </w:r>
      <w:r w:rsidRPr="00EF581D">
        <w:rPr>
          <w:i/>
          <w:iCs/>
        </w:rPr>
        <w:t>host</w:t>
      </w:r>
      <w:r w:rsidRPr="00EF581D">
        <w:t>, ezproxy.prin.edu:2048/login?url=http://search.ebscohost.com/login.aspx?direct=true&amp;db=mzh</w:t>
      </w:r>
      <w:r>
        <w:t>&amp;AN=2011650743&amp;site=ehost-live.</w:t>
      </w:r>
    </w:p>
  </w:footnote>
  <w:footnote w:id="28">
    <w:p w:rsidR="005F2039" w:rsidRDefault="005F2039" w:rsidP="00716CFE">
      <w:pPr>
        <w:pStyle w:val="FootnoteText"/>
      </w:pPr>
      <w:r>
        <w:rPr>
          <w:rStyle w:val="FootnoteReference"/>
        </w:rPr>
        <w:footnoteRef/>
      </w:r>
      <w:r>
        <w:t xml:space="preserve"> </w:t>
      </w:r>
      <w:r w:rsidRPr="00CB76A3">
        <w:t>Mayes, Janis, and P. Searle. "Veronique Tadjo." African Writing Online. http://www.african-writing.com/four/veroniquetadjointerview.htm.</w:t>
      </w:r>
    </w:p>
  </w:footnote>
  <w:footnote w:id="29">
    <w:p w:rsidR="005F2039" w:rsidRPr="002C70E5" w:rsidRDefault="005F2039">
      <w:pPr>
        <w:pStyle w:val="FootnoteText"/>
        <w:rPr>
          <w:lang w:val="fr-FR"/>
        </w:rPr>
      </w:pPr>
      <w:r>
        <w:rPr>
          <w:rStyle w:val="FootnoteReference"/>
        </w:rPr>
        <w:footnoteRef/>
      </w:r>
      <w:r w:rsidRPr="002C70E5">
        <w:rPr>
          <w:lang w:val="fr-FR"/>
        </w:rPr>
        <w:t xml:space="preserve"> Tadjo, Véronique. “Biography.” </w:t>
      </w:r>
      <w:r w:rsidRPr="002C70E5">
        <w:rPr>
          <w:i/>
          <w:iCs/>
          <w:lang w:val="fr-FR"/>
        </w:rPr>
        <w:t>Véronique Tadjo</w:t>
      </w:r>
      <w:r w:rsidRPr="002C70E5">
        <w:rPr>
          <w:lang w:val="fr-FR"/>
        </w:rPr>
        <w:t>, 2013, veroniquetadjo.com/?page_id=21.</w:t>
      </w:r>
    </w:p>
  </w:footnote>
  <w:footnote w:id="30">
    <w:p w:rsidR="005F2039" w:rsidRDefault="005F2039" w:rsidP="00716CFE">
      <w:pPr>
        <w:pStyle w:val="FootnoteText"/>
      </w:pPr>
      <w:r>
        <w:rPr>
          <w:rStyle w:val="FootnoteReference"/>
        </w:rPr>
        <w:footnoteRef/>
      </w:r>
      <w:r>
        <w:t xml:space="preserve"> </w:t>
      </w:r>
      <w:r w:rsidRPr="00CF6CD1">
        <w:t>Tadjo, Véronique, and Gisela Greatorex. </w:t>
      </w:r>
      <w:r w:rsidRPr="00CF6CD1">
        <w:rPr>
          <w:i/>
          <w:iCs/>
        </w:rPr>
        <w:t>Mama Wata und das monster = Mamy Wata and the monster</w:t>
      </w:r>
      <w:r w:rsidRPr="00CF6CD1">
        <w:t>. London: Milet, 2000.</w:t>
      </w:r>
    </w:p>
  </w:footnote>
  <w:footnote w:id="31">
    <w:p w:rsidR="005F2039" w:rsidRDefault="005F2039" w:rsidP="00716CFE">
      <w:pPr>
        <w:pStyle w:val="FootnoteText"/>
      </w:pPr>
      <w:r>
        <w:rPr>
          <w:rStyle w:val="FootnoteReference"/>
        </w:rPr>
        <w:footnoteRef/>
      </w:r>
      <w:r>
        <w:t xml:space="preserve"> </w:t>
      </w:r>
      <w:r w:rsidRPr="00CF6CD1">
        <w:t>Tadjo, Véronique, and Gisela Greatorex. </w:t>
      </w:r>
      <w:r w:rsidRPr="00CF6CD1">
        <w:rPr>
          <w:i/>
          <w:iCs/>
        </w:rPr>
        <w:t>Mama Wata und das monster = Mamy Wata and the monster</w:t>
      </w:r>
      <w:r w:rsidRPr="00CF6CD1">
        <w:t>. London: Milet, 2000.</w:t>
      </w:r>
    </w:p>
  </w:footnote>
  <w:footnote w:id="32">
    <w:p w:rsidR="005F2039" w:rsidRPr="005F2039" w:rsidRDefault="005F2039" w:rsidP="00716CFE">
      <w:pPr>
        <w:pStyle w:val="FootnoteText"/>
        <w:rPr>
          <w:i/>
        </w:rPr>
      </w:pPr>
      <w:r>
        <w:rPr>
          <w:rStyle w:val="FootnoteReference"/>
        </w:rPr>
        <w:footnoteRef/>
      </w:r>
      <w:r>
        <w:t xml:space="preserve"> </w:t>
      </w:r>
      <w:r>
        <w:rPr>
          <w:i/>
        </w:rPr>
        <w:t>Id</w:t>
      </w:r>
    </w:p>
  </w:footnote>
  <w:footnote w:id="33">
    <w:p w:rsidR="005F2039" w:rsidRPr="004A02D4" w:rsidRDefault="005F2039" w:rsidP="00716CFE">
      <w:pPr>
        <w:pStyle w:val="FootnoteText"/>
        <w:rPr>
          <w:i/>
        </w:rPr>
      </w:pPr>
      <w:r>
        <w:rPr>
          <w:rStyle w:val="FootnoteReference"/>
        </w:rPr>
        <w:footnoteRef/>
      </w:r>
      <w:r>
        <w:t xml:space="preserve"> </w:t>
      </w:r>
      <w:r>
        <w:rPr>
          <w:i/>
        </w:rPr>
        <w:t>Id</w:t>
      </w:r>
    </w:p>
  </w:footnote>
  <w:footnote w:id="34">
    <w:p w:rsidR="005F2039" w:rsidRPr="004B62FE" w:rsidRDefault="005F2039" w:rsidP="00716CFE">
      <w:pPr>
        <w:pStyle w:val="FootnoteText"/>
      </w:pPr>
      <w:r>
        <w:rPr>
          <w:rStyle w:val="FootnoteReference"/>
        </w:rPr>
        <w:footnoteRef/>
      </w:r>
      <w:r>
        <w:rPr>
          <w:i/>
        </w:rPr>
        <w:t xml:space="preserve"> Id</w:t>
      </w:r>
    </w:p>
  </w:footnote>
  <w:footnote w:id="35">
    <w:p w:rsidR="005F2039" w:rsidRDefault="005F2039" w:rsidP="00716CFE">
      <w:r>
        <w:rPr>
          <w:rStyle w:val="FootnoteReference"/>
        </w:rPr>
        <w:footnoteRef/>
      </w:r>
      <w:r>
        <w:t xml:space="preserve"> </w:t>
      </w:r>
      <w:r w:rsidRPr="00C62E7C">
        <w:t>van Stipriaan, Alex (2005). "Watramama/</w:t>
      </w:r>
      <w:r>
        <w:t>Mami</w:t>
      </w:r>
      <w:r w:rsidRPr="00C62E7C">
        <w:t xml:space="preserve"> Wata: Three centuries of creolization of a water spirit in West Africa, Suriname and Europe". </w:t>
      </w:r>
      <w:r w:rsidRPr="00C62E7C">
        <w:rPr>
          <w:i/>
          <w:iCs/>
        </w:rPr>
        <w:t>Matatu: Journal for African Culture and Society</w:t>
      </w:r>
      <w:r w:rsidRPr="00C62E7C">
        <w:t>, 27/28, 323-3</w:t>
      </w:r>
    </w:p>
  </w:footnote>
  <w:footnote w:id="36">
    <w:p w:rsidR="005F2039" w:rsidRPr="00B80BB8" w:rsidRDefault="005F2039" w:rsidP="00716CFE">
      <w:pPr>
        <w:pStyle w:val="FootnoteText"/>
      </w:pPr>
      <w:r>
        <w:rPr>
          <w:rStyle w:val="FootnoteReference"/>
        </w:rPr>
        <w:footnoteRef/>
      </w:r>
      <w:r>
        <w:t xml:space="preserve"> </w:t>
      </w:r>
      <w:r w:rsidRPr="00B80BB8">
        <w:t>Garane, Jeanne. "Véronique Tadjo." </w:t>
      </w:r>
      <w:r w:rsidRPr="00B80BB8">
        <w:rPr>
          <w:i/>
          <w:iCs/>
        </w:rPr>
        <w:t>Contemporary African Writers</w:t>
      </w:r>
      <w:r w:rsidRPr="00B80BB8">
        <w:t>, Tanure (ed. and introd.) Ojaide, Gale, 2011, pp. 260-267. Dictionary of Literary Biography (DLB): 360. EBSCO</w:t>
      </w:r>
      <w:r w:rsidRPr="00B80BB8">
        <w:rPr>
          <w:i/>
          <w:iCs/>
        </w:rPr>
        <w:t>host</w:t>
      </w:r>
      <w:r w:rsidRPr="00B80BB8">
        <w:t>, ezproxy.prin.edu:2048/login?url=http://search.ebscohost.com/login.aspx?direct=true&amp;db=mzh&amp;AN=2011650743&amp;site=ehost-live.</w:t>
      </w:r>
    </w:p>
    <w:p w:rsidR="005F2039" w:rsidRDefault="005F2039" w:rsidP="00716CFE">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039" w:rsidRDefault="00A11C2C" w:rsidP="00C04A12">
    <w:pPr>
      <w:pStyle w:val="Header"/>
      <w:framePr w:wrap="around" w:vAnchor="text" w:hAnchor="margin" w:xAlign="right" w:y="1"/>
      <w:rPr>
        <w:rStyle w:val="PageNumber"/>
      </w:rPr>
    </w:pPr>
    <w:r>
      <w:rPr>
        <w:rStyle w:val="PageNumber"/>
      </w:rPr>
      <w:fldChar w:fldCharType="begin"/>
    </w:r>
    <w:r w:rsidR="005F2039">
      <w:rPr>
        <w:rStyle w:val="PageNumber"/>
      </w:rPr>
      <w:instrText xml:space="preserve">PAGE  </w:instrText>
    </w:r>
    <w:r>
      <w:rPr>
        <w:rStyle w:val="PageNumber"/>
      </w:rPr>
      <w:fldChar w:fldCharType="end"/>
    </w:r>
  </w:p>
  <w:p w:rsidR="005F2039" w:rsidRDefault="005F2039" w:rsidP="00C04A12">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039" w:rsidRDefault="00A11C2C" w:rsidP="00C04A12">
    <w:pPr>
      <w:pStyle w:val="Header"/>
      <w:framePr w:wrap="around" w:vAnchor="text" w:hAnchor="margin" w:xAlign="right" w:y="1"/>
      <w:rPr>
        <w:rStyle w:val="PageNumber"/>
      </w:rPr>
    </w:pPr>
    <w:r>
      <w:rPr>
        <w:rStyle w:val="PageNumber"/>
      </w:rPr>
      <w:fldChar w:fldCharType="begin"/>
    </w:r>
    <w:r w:rsidR="005F2039">
      <w:rPr>
        <w:rStyle w:val="PageNumber"/>
      </w:rPr>
      <w:instrText xml:space="preserve">PAGE  </w:instrText>
    </w:r>
    <w:r>
      <w:rPr>
        <w:rStyle w:val="PageNumber"/>
      </w:rPr>
      <w:fldChar w:fldCharType="separate"/>
    </w:r>
    <w:r w:rsidR="002E2ECE">
      <w:rPr>
        <w:rStyle w:val="PageNumber"/>
        <w:noProof/>
      </w:rPr>
      <w:t>1</w:t>
    </w:r>
    <w:r>
      <w:rPr>
        <w:rStyle w:val="PageNumber"/>
      </w:rPr>
      <w:fldChar w:fldCharType="end"/>
    </w:r>
  </w:p>
  <w:p w:rsidR="005F2039" w:rsidRDefault="005F2039" w:rsidP="00C04A12">
    <w:pPr>
      <w:pStyle w:val="Header"/>
      <w:ind w:right="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7"/>
  <w:defaultTabStop w:val="720"/>
  <w:characterSpacingControl w:val="doNotCompress"/>
  <w:footnotePr>
    <w:footnote w:id="-1"/>
    <w:footnote w:id="0"/>
  </w:footnotePr>
  <w:endnotePr>
    <w:endnote w:id="-1"/>
    <w:endnote w:id="0"/>
  </w:endnotePr>
  <w:compat>
    <w:useFELayout/>
  </w:compat>
  <w:rsids>
    <w:rsidRoot w:val="00B13D81"/>
    <w:rsid w:val="00027AE7"/>
    <w:rsid w:val="00056F6A"/>
    <w:rsid w:val="0010598D"/>
    <w:rsid w:val="00121A59"/>
    <w:rsid w:val="00145884"/>
    <w:rsid w:val="001510AF"/>
    <w:rsid w:val="00152F11"/>
    <w:rsid w:val="0020654E"/>
    <w:rsid w:val="00264F8C"/>
    <w:rsid w:val="002714B3"/>
    <w:rsid w:val="0028409B"/>
    <w:rsid w:val="002C70E5"/>
    <w:rsid w:val="002E2ECE"/>
    <w:rsid w:val="002F5C47"/>
    <w:rsid w:val="003010DC"/>
    <w:rsid w:val="00366188"/>
    <w:rsid w:val="00375F48"/>
    <w:rsid w:val="00433045"/>
    <w:rsid w:val="004C63A3"/>
    <w:rsid w:val="00507E12"/>
    <w:rsid w:val="005171B6"/>
    <w:rsid w:val="005364B3"/>
    <w:rsid w:val="005401BD"/>
    <w:rsid w:val="00587A4C"/>
    <w:rsid w:val="005F2039"/>
    <w:rsid w:val="0061442C"/>
    <w:rsid w:val="00644B3A"/>
    <w:rsid w:val="00663730"/>
    <w:rsid w:val="006A24B1"/>
    <w:rsid w:val="00716CFE"/>
    <w:rsid w:val="007259B6"/>
    <w:rsid w:val="00742992"/>
    <w:rsid w:val="00752DA3"/>
    <w:rsid w:val="007B3321"/>
    <w:rsid w:val="00821331"/>
    <w:rsid w:val="00874119"/>
    <w:rsid w:val="0087436D"/>
    <w:rsid w:val="008B5A72"/>
    <w:rsid w:val="008C0151"/>
    <w:rsid w:val="008E34CF"/>
    <w:rsid w:val="009500EB"/>
    <w:rsid w:val="00965F17"/>
    <w:rsid w:val="009B0AC7"/>
    <w:rsid w:val="009D087F"/>
    <w:rsid w:val="009D3788"/>
    <w:rsid w:val="00A11C2C"/>
    <w:rsid w:val="00A468EA"/>
    <w:rsid w:val="00AA79F5"/>
    <w:rsid w:val="00AC100E"/>
    <w:rsid w:val="00AF68AE"/>
    <w:rsid w:val="00B13D81"/>
    <w:rsid w:val="00B6034E"/>
    <w:rsid w:val="00B82076"/>
    <w:rsid w:val="00B82BA8"/>
    <w:rsid w:val="00BB4800"/>
    <w:rsid w:val="00BD6095"/>
    <w:rsid w:val="00BF445E"/>
    <w:rsid w:val="00C03E89"/>
    <w:rsid w:val="00C04A12"/>
    <w:rsid w:val="00C14CCD"/>
    <w:rsid w:val="00C521AE"/>
    <w:rsid w:val="00C95E01"/>
    <w:rsid w:val="00CD7383"/>
    <w:rsid w:val="00D062AC"/>
    <w:rsid w:val="00D71F44"/>
    <w:rsid w:val="00D86D45"/>
    <w:rsid w:val="00E47031"/>
    <w:rsid w:val="00E51451"/>
    <w:rsid w:val="00E7748D"/>
    <w:rsid w:val="00EA365E"/>
    <w:rsid w:val="00EB62D4"/>
    <w:rsid w:val="00F6153E"/>
    <w:rsid w:val="00FD3DA7"/>
    <w:rsid w:val="00FD4CC0"/>
    <w:rsid w:val="00FD52F0"/>
    <w:rsid w:val="00FF36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D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13D81"/>
  </w:style>
  <w:style w:type="character" w:customStyle="1" w:styleId="FootnoteTextChar">
    <w:name w:val="Footnote Text Char"/>
    <w:basedOn w:val="DefaultParagraphFont"/>
    <w:link w:val="FootnoteText"/>
    <w:uiPriority w:val="99"/>
    <w:rsid w:val="00B13D81"/>
  </w:style>
  <w:style w:type="character" w:styleId="FootnoteReference">
    <w:name w:val="footnote reference"/>
    <w:basedOn w:val="DefaultParagraphFont"/>
    <w:uiPriority w:val="99"/>
    <w:unhideWhenUsed/>
    <w:rsid w:val="00B13D81"/>
    <w:rPr>
      <w:vertAlign w:val="superscript"/>
    </w:rPr>
  </w:style>
  <w:style w:type="paragraph" w:styleId="BalloonText">
    <w:name w:val="Balloon Text"/>
    <w:basedOn w:val="Normal"/>
    <w:link w:val="BalloonTextChar"/>
    <w:uiPriority w:val="99"/>
    <w:semiHidden/>
    <w:unhideWhenUsed/>
    <w:rsid w:val="00B13D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3D81"/>
    <w:rPr>
      <w:rFonts w:ascii="Lucida Grande" w:hAnsi="Lucida Grande" w:cs="Lucida Grande"/>
      <w:sz w:val="18"/>
      <w:szCs w:val="18"/>
    </w:rPr>
  </w:style>
  <w:style w:type="paragraph" w:styleId="Footer">
    <w:name w:val="footer"/>
    <w:basedOn w:val="Normal"/>
    <w:link w:val="FooterChar"/>
    <w:uiPriority w:val="99"/>
    <w:unhideWhenUsed/>
    <w:rsid w:val="00C04A12"/>
    <w:pPr>
      <w:tabs>
        <w:tab w:val="center" w:pos="4320"/>
        <w:tab w:val="right" w:pos="8640"/>
      </w:tabs>
    </w:pPr>
  </w:style>
  <w:style w:type="character" w:customStyle="1" w:styleId="FooterChar">
    <w:name w:val="Footer Char"/>
    <w:basedOn w:val="DefaultParagraphFont"/>
    <w:link w:val="Footer"/>
    <w:uiPriority w:val="99"/>
    <w:rsid w:val="00C04A12"/>
  </w:style>
  <w:style w:type="character" w:styleId="PageNumber">
    <w:name w:val="page number"/>
    <w:basedOn w:val="DefaultParagraphFont"/>
    <w:uiPriority w:val="99"/>
    <w:semiHidden/>
    <w:unhideWhenUsed/>
    <w:rsid w:val="00C04A12"/>
  </w:style>
  <w:style w:type="paragraph" w:styleId="Header">
    <w:name w:val="header"/>
    <w:basedOn w:val="Normal"/>
    <w:link w:val="HeaderChar"/>
    <w:uiPriority w:val="99"/>
    <w:unhideWhenUsed/>
    <w:rsid w:val="00C04A12"/>
    <w:pPr>
      <w:tabs>
        <w:tab w:val="center" w:pos="4320"/>
        <w:tab w:val="right" w:pos="8640"/>
      </w:tabs>
    </w:pPr>
  </w:style>
  <w:style w:type="character" w:customStyle="1" w:styleId="HeaderChar">
    <w:name w:val="Header Char"/>
    <w:basedOn w:val="DefaultParagraphFont"/>
    <w:link w:val="Header"/>
    <w:uiPriority w:val="99"/>
    <w:rsid w:val="00C04A12"/>
  </w:style>
</w:styles>
</file>

<file path=word/webSettings.xml><?xml version="1.0" encoding="utf-8"?>
<w:webSettings xmlns:r="http://schemas.openxmlformats.org/officeDocument/2006/relationships" xmlns:w="http://schemas.openxmlformats.org/wordprocessingml/2006/main">
  <w:divs>
    <w:div w:id="443811409">
      <w:bodyDiv w:val="1"/>
      <w:marLeft w:val="0"/>
      <w:marRight w:val="0"/>
      <w:marTop w:val="0"/>
      <w:marBottom w:val="0"/>
      <w:divBdr>
        <w:top w:val="none" w:sz="0" w:space="0" w:color="auto"/>
        <w:left w:val="none" w:sz="0" w:space="0" w:color="auto"/>
        <w:bottom w:val="none" w:sz="0" w:space="0" w:color="auto"/>
        <w:right w:val="none" w:sz="0" w:space="0" w:color="auto"/>
      </w:divBdr>
    </w:div>
    <w:div w:id="796215421">
      <w:bodyDiv w:val="1"/>
      <w:marLeft w:val="0"/>
      <w:marRight w:val="0"/>
      <w:marTop w:val="0"/>
      <w:marBottom w:val="0"/>
      <w:divBdr>
        <w:top w:val="none" w:sz="0" w:space="0" w:color="auto"/>
        <w:left w:val="none" w:sz="0" w:space="0" w:color="auto"/>
        <w:bottom w:val="none" w:sz="0" w:space="0" w:color="auto"/>
        <w:right w:val="none" w:sz="0" w:space="0" w:color="auto"/>
      </w:divBdr>
    </w:div>
    <w:div w:id="827020789">
      <w:bodyDiv w:val="1"/>
      <w:marLeft w:val="0"/>
      <w:marRight w:val="0"/>
      <w:marTop w:val="0"/>
      <w:marBottom w:val="0"/>
      <w:divBdr>
        <w:top w:val="none" w:sz="0" w:space="0" w:color="auto"/>
        <w:left w:val="none" w:sz="0" w:space="0" w:color="auto"/>
        <w:bottom w:val="none" w:sz="0" w:space="0" w:color="auto"/>
        <w:right w:val="none" w:sz="0" w:space="0" w:color="auto"/>
      </w:divBdr>
    </w:div>
    <w:div w:id="17850729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3471</Words>
  <Characters>19785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St. Luke's School</Company>
  <LinksUpToDate>false</LinksUpToDate>
  <CharactersWithSpaces>23210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Steckler</dc:creator>
  <cp:lastModifiedBy>Gunda</cp:lastModifiedBy>
  <cp:revision>2</cp:revision>
  <dcterms:created xsi:type="dcterms:W3CDTF">2018-01-22T06:58:00Z</dcterms:created>
  <dcterms:modified xsi:type="dcterms:W3CDTF">2018-01-22T06:58:00Z</dcterms:modified>
</cp:coreProperties>
</file>